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E3305">
      <w:pPr>
        <w:spacing w:line="560" w:lineRule="exact"/>
        <w:ind w:firstLine="880" w:firstLineChars="20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锦屏县生态鹅产业发展三年行动方案</w:t>
      </w:r>
    </w:p>
    <w:p w14:paraId="30966A0F">
      <w:pPr>
        <w:spacing w:line="560" w:lineRule="exact"/>
        <w:ind w:firstLine="2640" w:firstLineChars="600"/>
        <w:rPr>
          <w:color w:val="000000"/>
        </w:rPr>
      </w:pPr>
      <w:r>
        <w:rPr>
          <w:rFonts w:hint="eastAsia" w:ascii="方正小标宋简体" w:hAnsi="方正小标宋简体" w:eastAsia="方正小标宋简体" w:cs="方正小标宋简体"/>
          <w:color w:val="000000"/>
          <w:sz w:val="44"/>
          <w:szCs w:val="44"/>
        </w:rPr>
        <w:t>（2025</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2027年）</w:t>
      </w:r>
    </w:p>
    <w:p w14:paraId="4E3C96BC">
      <w:pPr>
        <w:pStyle w:val="10"/>
        <w:spacing w:line="560" w:lineRule="exact"/>
        <w:ind w:left="0" w:leftChars="0" w:firstLine="3200" w:firstLineChars="1000"/>
        <w:rPr>
          <w:rFonts w:ascii="楷体" w:hAnsi="楷体" w:eastAsia="楷体" w:cs="楷体"/>
          <w:color w:val="000000"/>
          <w:szCs w:val="32"/>
        </w:rPr>
      </w:pPr>
      <w:r>
        <w:rPr>
          <w:rFonts w:hint="eastAsia" w:ascii="楷体" w:hAnsi="楷体" w:eastAsia="楷体" w:cs="楷体"/>
          <w:color w:val="000000"/>
          <w:szCs w:val="32"/>
        </w:rPr>
        <w:t>（征求意见稿）</w:t>
      </w:r>
    </w:p>
    <w:p w14:paraId="701737F5">
      <w:pPr>
        <w:ind w:firstLine="640" w:firstLineChars="200"/>
        <w:rPr>
          <w:rFonts w:ascii="仿宋_GB2312" w:eastAsia="仿宋_GB2312"/>
          <w:color w:val="000000"/>
        </w:rPr>
      </w:pPr>
    </w:p>
    <w:p w14:paraId="0E6D5564">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为深入贯彻</w:t>
      </w:r>
      <w:r>
        <w:rPr>
          <w:rFonts w:hint="eastAsia" w:ascii="仿宋_GB2312" w:hAnsi="仿宋_GB2312" w:eastAsia="仿宋_GB2312" w:cs="仿宋_GB2312"/>
          <w:color w:val="000000"/>
          <w:szCs w:val="32"/>
          <w:lang w:eastAsia="zh-CN"/>
        </w:rPr>
        <w:t>《中共中央 国务院</w:t>
      </w:r>
      <w:r>
        <w:rPr>
          <w:rFonts w:hint="eastAsia" w:ascii="仿宋_GB2312" w:hAnsi="仿宋_GB2312" w:eastAsia="仿宋_GB2312" w:cs="仿宋_GB2312"/>
          <w:color w:val="000000"/>
          <w:szCs w:val="32"/>
        </w:rPr>
        <w:t>关于全面推进乡村振兴加快推进农业农村现代化的意见》《中共贵州省委贵州省人民政府关于全面推进乡村振兴加快推进农业农村现代化的实施意见》《中共黔东南州委黔东南州人民政府关于全面推进乡村振兴加快推进农业农村现代化的实施意见》等精神，根据《黔东南州鸭鹅产业高质量发展三年行动方案（2025</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2027年）》，结合锦屏县产业发展情况，特制定本方案。</w:t>
      </w:r>
    </w:p>
    <w:p w14:paraId="778DEC8F">
      <w:pPr>
        <w:ind w:firstLine="640" w:firstLineChars="200"/>
        <w:rPr>
          <w:rFonts w:ascii="黑体" w:hAnsi="黑体" w:eastAsia="黑体" w:cs="黑体"/>
          <w:color w:val="000000"/>
          <w:szCs w:val="32"/>
        </w:rPr>
      </w:pPr>
      <w:r>
        <w:rPr>
          <w:rFonts w:hint="eastAsia" w:ascii="黑体" w:hAnsi="黑体" w:eastAsia="黑体" w:cs="黑体"/>
          <w:color w:val="000000"/>
          <w:szCs w:val="32"/>
        </w:rPr>
        <w:t>一、总体发展目标</w:t>
      </w:r>
    </w:p>
    <w:p w14:paraId="54D8BFA8">
      <w:pPr>
        <w:ind w:firstLine="643" w:firstLineChars="200"/>
        <w:rPr>
          <w:rFonts w:ascii="仿宋_GB2312" w:eastAsia="仿宋_GB2312"/>
          <w:color w:val="000000"/>
        </w:rPr>
      </w:pPr>
      <w:r>
        <w:rPr>
          <w:rFonts w:hint="eastAsia" w:ascii="楷体_GB2312" w:hAnsi="楷体_GB2312" w:eastAsia="楷体_GB2312" w:cs="楷体_GB2312"/>
          <w:b/>
          <w:bCs/>
          <w:color w:val="000000"/>
          <w:szCs w:val="32"/>
        </w:rPr>
        <w:t>（一）总体目标。</w:t>
      </w:r>
      <w:r>
        <w:rPr>
          <w:rFonts w:hint="eastAsia" w:ascii="仿宋_GB2312" w:eastAsia="仿宋_GB2312"/>
          <w:color w:val="000000"/>
        </w:rPr>
        <w:t>力争通过3年时间，健全和完善锦屏县生态鹅产业链条，稳步推进品种选育改良，逐步完善养殖标准体系，稳步扩大养殖规模，不断丰富精深加工市场主体，延长补强产业链，实现一二三产有机融合，提升产业链价值，产业整体实力和经济社会效益全面增强，实现产业振兴联农助农富农目标。培育龙头企业5家以上（其中种业、养殖、屠宰、鹅肉加工、鹅绒企业各1家以上）；推行规模化集约化生产，建成规模化养殖场（点）</w:t>
      </w:r>
      <w:r>
        <w:rPr>
          <w:rFonts w:ascii="仿宋_GB2312" w:eastAsia="仿宋_GB2312"/>
          <w:color w:val="000000"/>
        </w:rPr>
        <w:t>10</w:t>
      </w:r>
      <w:r>
        <w:rPr>
          <w:rFonts w:hint="eastAsia" w:ascii="仿宋_GB2312" w:eastAsia="仿宋_GB2312"/>
          <w:color w:val="000000"/>
        </w:rPr>
        <w:t>个以上，培育养殖主体</w:t>
      </w:r>
      <w:r>
        <w:rPr>
          <w:rFonts w:ascii="仿宋_GB2312" w:eastAsia="仿宋_GB2312"/>
          <w:color w:val="000000"/>
        </w:rPr>
        <w:t>150</w:t>
      </w:r>
      <w:r>
        <w:rPr>
          <w:rFonts w:hint="eastAsia" w:ascii="仿宋_GB2312" w:eastAsia="仿宋_GB2312"/>
          <w:color w:val="000000"/>
        </w:rPr>
        <w:t>个以上，其中家庭农场</w:t>
      </w:r>
      <w:r>
        <w:rPr>
          <w:rFonts w:ascii="仿宋_GB2312" w:eastAsia="仿宋_GB2312"/>
          <w:color w:val="000000"/>
        </w:rPr>
        <w:t>5</w:t>
      </w:r>
      <w:r>
        <w:rPr>
          <w:rFonts w:hint="eastAsia" w:ascii="仿宋_GB2312" w:eastAsia="仿宋_GB2312"/>
          <w:color w:val="000000"/>
        </w:rPr>
        <w:t>0个以上。到2027年末，种鹅稳定存栏量达</w:t>
      </w:r>
      <w:r>
        <w:rPr>
          <w:rFonts w:ascii="仿宋_GB2312" w:eastAsia="仿宋_GB2312"/>
          <w:color w:val="000000"/>
        </w:rPr>
        <w:t>12</w:t>
      </w:r>
      <w:r>
        <w:rPr>
          <w:rFonts w:hint="eastAsia" w:ascii="仿宋_GB2312" w:eastAsia="仿宋_GB2312"/>
          <w:color w:val="000000"/>
        </w:rPr>
        <w:t>万羽以上，商品鹅出栏量4</w:t>
      </w:r>
      <w:r>
        <w:rPr>
          <w:rFonts w:ascii="仿宋_GB2312" w:eastAsia="仿宋_GB2312"/>
          <w:color w:val="000000"/>
        </w:rPr>
        <w:t>00</w:t>
      </w:r>
      <w:r>
        <w:rPr>
          <w:rFonts w:hint="eastAsia" w:ascii="仿宋_GB2312" w:eastAsia="仿宋_GB2312"/>
          <w:color w:val="000000"/>
        </w:rPr>
        <w:t>万羽以上，综合产值</w:t>
      </w:r>
      <w:r>
        <w:rPr>
          <w:rFonts w:ascii="仿宋_GB2312" w:eastAsia="仿宋_GB2312"/>
          <w:color w:val="000000"/>
        </w:rPr>
        <w:t>9.7</w:t>
      </w:r>
      <w:r>
        <w:rPr>
          <w:rFonts w:hint="eastAsia" w:ascii="仿宋_GB2312" w:eastAsia="仿宋_GB2312"/>
          <w:color w:val="000000"/>
        </w:rPr>
        <w:t>亿元以上。产品附加值不断提升，市场占有率逐步扩大，带动养殖农户</w:t>
      </w:r>
      <w:r>
        <w:rPr>
          <w:rFonts w:ascii="仿宋_GB2312" w:eastAsia="仿宋_GB2312"/>
          <w:color w:val="000000"/>
        </w:rPr>
        <w:t>5</w:t>
      </w:r>
      <w:r>
        <w:rPr>
          <w:rFonts w:hint="eastAsia" w:ascii="仿宋_GB2312" w:eastAsia="仿宋_GB2312"/>
          <w:color w:val="000000"/>
        </w:rPr>
        <w:t>000户以上，农户年均增收</w:t>
      </w:r>
      <w:r>
        <w:rPr>
          <w:rFonts w:ascii="仿宋_GB2312" w:eastAsia="仿宋_GB2312"/>
          <w:color w:val="000000"/>
        </w:rPr>
        <w:t>12</w:t>
      </w:r>
      <w:r>
        <w:rPr>
          <w:rFonts w:hint="eastAsia" w:ascii="仿宋_GB2312" w:eastAsia="仿宋_GB2312"/>
          <w:color w:val="000000"/>
        </w:rPr>
        <w:t>00元以上。</w:t>
      </w:r>
    </w:p>
    <w:p w14:paraId="458A432B">
      <w:pPr>
        <w:ind w:firstLine="643" w:firstLineChars="200"/>
        <w:rPr>
          <w:rFonts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（二）年度目标</w:t>
      </w:r>
    </w:p>
    <w:p w14:paraId="103CE064">
      <w:pPr>
        <w:ind w:firstLine="643" w:firstLineChars="200"/>
        <w:rPr>
          <w:rFonts w:ascii="仿宋_GB2312" w:eastAsia="仿宋_GB2312"/>
          <w:color w:val="000000"/>
        </w:rPr>
      </w:pPr>
      <w:r>
        <w:rPr>
          <w:rFonts w:hint="eastAsia" w:ascii="仿宋_GB2312" w:hAnsi="仿宋_GB2312" w:cs="仿宋_GB2312"/>
          <w:b/>
          <w:bCs/>
          <w:color w:val="000000"/>
          <w:szCs w:val="32"/>
        </w:rPr>
        <w:t>1.2025年度。</w:t>
      </w:r>
      <w:r>
        <w:rPr>
          <w:rFonts w:hint="eastAsia" w:ascii="仿宋_GB2312" w:eastAsia="仿宋_GB2312"/>
          <w:color w:val="000000"/>
        </w:rPr>
        <w:t>全县种鹅存栏量</w:t>
      </w:r>
      <w:r>
        <w:rPr>
          <w:rFonts w:hint="eastAsia" w:ascii="仿宋_GB2312" w:eastAsia="仿宋_GB2312"/>
          <w:color w:val="000000"/>
          <w:lang w:val="en-US" w:eastAsia="zh-CN"/>
        </w:rPr>
        <w:t>达</w:t>
      </w:r>
      <w:r>
        <w:rPr>
          <w:rFonts w:hint="eastAsia" w:ascii="仿宋_GB2312" w:eastAsia="仿宋_GB2312"/>
          <w:color w:val="000000"/>
        </w:rPr>
        <w:t>10万羽以上，商品鹅养殖出栏量3</w:t>
      </w:r>
      <w:r>
        <w:rPr>
          <w:rFonts w:ascii="仿宋_GB2312" w:eastAsia="仿宋_GB2312"/>
          <w:color w:val="000000"/>
        </w:rPr>
        <w:t>5</w:t>
      </w:r>
      <w:r>
        <w:rPr>
          <w:rFonts w:hint="eastAsia" w:ascii="仿宋_GB2312" w:eastAsia="仿宋_GB2312"/>
          <w:color w:val="000000"/>
        </w:rPr>
        <w:t>0万羽以上，综合产值</w:t>
      </w:r>
      <w:r>
        <w:rPr>
          <w:rFonts w:ascii="仿宋_GB2312" w:eastAsia="仿宋_GB2312"/>
          <w:color w:val="000000"/>
        </w:rPr>
        <w:t>7</w:t>
      </w:r>
      <w:r>
        <w:rPr>
          <w:rFonts w:hint="eastAsia" w:ascii="仿宋_GB2312" w:eastAsia="仿宋_GB2312"/>
          <w:color w:val="000000"/>
        </w:rPr>
        <w:t>亿元以上。培育龙头企业2个以上，稳妥推进“公司+农户”养殖合作模式，发展带动养殖主体</w:t>
      </w:r>
      <w:r>
        <w:rPr>
          <w:rFonts w:ascii="仿宋_GB2312" w:eastAsia="仿宋_GB2312"/>
          <w:color w:val="000000"/>
        </w:rPr>
        <w:t>100</w:t>
      </w:r>
      <w:r>
        <w:rPr>
          <w:rFonts w:hint="eastAsia" w:ascii="仿宋_GB2312" w:eastAsia="仿宋_GB2312"/>
          <w:color w:val="000000"/>
        </w:rPr>
        <w:t>户以上，其中家庭农场30个以上，创办县级养殖示范点5个以上。</w:t>
      </w:r>
    </w:p>
    <w:p w14:paraId="7CCFFF9C">
      <w:pPr>
        <w:ind w:firstLine="643" w:firstLineChars="200"/>
        <w:rPr>
          <w:rFonts w:ascii="仿宋_GB2312" w:eastAsia="仿宋_GB2312"/>
          <w:color w:val="000000"/>
        </w:rPr>
      </w:pPr>
      <w:r>
        <w:rPr>
          <w:rFonts w:hint="eastAsia" w:ascii="仿宋_GB2312" w:hAnsi="仿宋_GB2312" w:cs="仿宋_GB2312"/>
          <w:b/>
          <w:bCs/>
          <w:color w:val="000000"/>
          <w:szCs w:val="32"/>
        </w:rPr>
        <w:t>2.2026年度。</w:t>
      </w:r>
      <w:r>
        <w:rPr>
          <w:rFonts w:hint="eastAsia" w:ascii="仿宋_GB2312" w:eastAsia="仿宋_GB2312"/>
          <w:color w:val="000000"/>
        </w:rPr>
        <w:t>全县种鹅存栏量</w:t>
      </w:r>
      <w:r>
        <w:rPr>
          <w:rFonts w:hint="eastAsia" w:ascii="仿宋_GB2312" w:eastAsia="仿宋_GB2312"/>
          <w:color w:val="000000"/>
          <w:lang w:val="en-US" w:eastAsia="zh-CN"/>
        </w:rPr>
        <w:t>达</w:t>
      </w:r>
      <w:r>
        <w:rPr>
          <w:rFonts w:hint="eastAsia" w:ascii="仿宋_GB2312" w:eastAsia="仿宋_GB2312"/>
          <w:color w:val="000000"/>
        </w:rPr>
        <w:t>1</w:t>
      </w:r>
      <w:r>
        <w:rPr>
          <w:rFonts w:ascii="仿宋_GB2312" w:eastAsia="仿宋_GB2312"/>
          <w:color w:val="000000"/>
        </w:rPr>
        <w:t>1</w:t>
      </w:r>
      <w:r>
        <w:rPr>
          <w:rFonts w:hint="eastAsia" w:ascii="仿宋_GB2312" w:eastAsia="仿宋_GB2312"/>
          <w:color w:val="000000"/>
        </w:rPr>
        <w:t>万羽以上，商品鹅养殖出栏量达</w:t>
      </w:r>
      <w:r>
        <w:rPr>
          <w:rFonts w:ascii="仿宋_GB2312" w:eastAsia="仿宋_GB2312"/>
          <w:color w:val="000000"/>
        </w:rPr>
        <w:t>375</w:t>
      </w:r>
      <w:r>
        <w:rPr>
          <w:rFonts w:hint="eastAsia" w:ascii="仿宋_GB2312" w:eastAsia="仿宋_GB2312"/>
          <w:color w:val="000000"/>
        </w:rPr>
        <w:t>万羽以上，综合产值</w:t>
      </w:r>
      <w:r>
        <w:rPr>
          <w:rFonts w:ascii="仿宋_GB2312" w:eastAsia="仿宋_GB2312"/>
          <w:color w:val="000000"/>
        </w:rPr>
        <w:t>8.4</w:t>
      </w:r>
      <w:r>
        <w:rPr>
          <w:rFonts w:hint="eastAsia" w:ascii="仿宋_GB2312" w:eastAsia="仿宋_GB2312"/>
          <w:color w:val="000000"/>
        </w:rPr>
        <w:t>亿元以上。新增龙头企业3个以上，深入推进“公司+农户”养殖合作模式，不断提升产业组织化程度。招商引资引进鹅毛、鹅肉精深加工、饲料加工企业2个以上入驻锦屏，实现生态鹅产业“接二连三”融合发展，不断提高产业附加值。</w:t>
      </w:r>
    </w:p>
    <w:p w14:paraId="54D7E3E1">
      <w:pPr>
        <w:ind w:firstLine="643" w:firstLineChars="200"/>
        <w:rPr>
          <w:rFonts w:ascii="仿宋_GB2312" w:eastAsia="仿宋_GB2312"/>
          <w:color w:val="000000"/>
        </w:rPr>
      </w:pPr>
      <w:r>
        <w:rPr>
          <w:rFonts w:hint="eastAsia" w:ascii="仿宋_GB2312" w:hAnsi="仿宋_GB2312" w:cs="仿宋_GB2312"/>
          <w:b/>
          <w:bCs/>
          <w:color w:val="000000"/>
          <w:szCs w:val="32"/>
        </w:rPr>
        <w:t>3.2027年度。</w:t>
      </w:r>
      <w:r>
        <w:rPr>
          <w:rFonts w:hint="eastAsia" w:ascii="仿宋_GB2312" w:eastAsia="仿宋_GB2312"/>
          <w:color w:val="000000"/>
        </w:rPr>
        <w:t>全县种鹅存栏量</w:t>
      </w:r>
      <w:r>
        <w:rPr>
          <w:rFonts w:hint="eastAsia" w:ascii="仿宋_GB2312" w:eastAsia="仿宋_GB2312"/>
          <w:color w:val="000000"/>
          <w:lang w:val="en-US" w:eastAsia="zh-CN"/>
        </w:rPr>
        <w:t>达</w:t>
      </w:r>
      <w:r>
        <w:rPr>
          <w:rFonts w:hint="eastAsia" w:ascii="仿宋_GB2312" w:eastAsia="仿宋_GB2312"/>
          <w:color w:val="000000"/>
        </w:rPr>
        <w:t>1</w:t>
      </w:r>
      <w:r>
        <w:rPr>
          <w:rFonts w:ascii="仿宋_GB2312" w:eastAsia="仿宋_GB2312"/>
          <w:color w:val="000000"/>
        </w:rPr>
        <w:t>2</w:t>
      </w:r>
      <w:r>
        <w:rPr>
          <w:rFonts w:hint="eastAsia" w:ascii="仿宋_GB2312" w:eastAsia="仿宋_GB2312"/>
          <w:color w:val="000000"/>
        </w:rPr>
        <w:t>万羽以上，商品鹅养殖出栏量达</w:t>
      </w:r>
      <w:r>
        <w:rPr>
          <w:rFonts w:ascii="仿宋_GB2312" w:eastAsia="仿宋_GB2312"/>
          <w:color w:val="000000"/>
        </w:rPr>
        <w:t>400</w:t>
      </w:r>
      <w:r>
        <w:rPr>
          <w:rFonts w:hint="eastAsia" w:ascii="仿宋_GB2312" w:eastAsia="仿宋_GB2312"/>
          <w:color w:val="000000"/>
        </w:rPr>
        <w:t>万羽以上，综合产值</w:t>
      </w:r>
      <w:r>
        <w:rPr>
          <w:rFonts w:ascii="仿宋_GB2312" w:eastAsia="仿宋_GB2312"/>
          <w:color w:val="000000"/>
        </w:rPr>
        <w:t>9.7</w:t>
      </w:r>
      <w:r>
        <w:rPr>
          <w:rFonts w:hint="eastAsia" w:ascii="仿宋_GB2312" w:eastAsia="仿宋_GB2312"/>
          <w:color w:val="000000"/>
        </w:rPr>
        <w:t>亿元以上。新增龙头企业5家以上，形成“公司+农户”养殖合作模式为主，多种养殖模式共同发展的产业新格局，全县“公司+农户”养殖合作养殖大户</w:t>
      </w:r>
      <w:r>
        <w:rPr>
          <w:rFonts w:ascii="仿宋_GB2312" w:eastAsia="仿宋_GB2312"/>
          <w:color w:val="000000"/>
        </w:rPr>
        <w:t>150</w:t>
      </w:r>
      <w:r>
        <w:rPr>
          <w:rFonts w:hint="eastAsia" w:ascii="仿宋_GB2312" w:eastAsia="仿宋_GB2312"/>
          <w:color w:val="000000"/>
        </w:rPr>
        <w:t>户以上，其中家庭农场</w:t>
      </w:r>
      <w:r>
        <w:rPr>
          <w:rFonts w:ascii="仿宋_GB2312" w:eastAsia="仿宋_GB2312"/>
          <w:color w:val="000000"/>
        </w:rPr>
        <w:t>5</w:t>
      </w:r>
      <w:r>
        <w:rPr>
          <w:rFonts w:hint="eastAsia" w:ascii="仿宋_GB2312" w:eastAsia="仿宋_GB2312"/>
          <w:color w:val="000000"/>
        </w:rPr>
        <w:t>0个以上。养殖户技术成熟、市场稳定，养殖经济效益稳步提高，鹅产业精深加工、餐饮加工主体不断丰富，产业联农带农富农成效明显。</w:t>
      </w:r>
    </w:p>
    <w:p w14:paraId="25CDE3DC">
      <w:pPr>
        <w:ind w:firstLine="640" w:firstLineChars="200"/>
        <w:rPr>
          <w:rFonts w:ascii="黑体" w:hAnsi="黑体" w:eastAsia="黑体" w:cs="黑体"/>
          <w:color w:val="000000"/>
          <w:szCs w:val="32"/>
        </w:rPr>
      </w:pPr>
    </w:p>
    <w:p w14:paraId="24D70DEA">
      <w:pPr>
        <w:ind w:firstLine="640" w:firstLineChars="200"/>
        <w:rPr>
          <w:rFonts w:ascii="黑体" w:hAnsi="黑体" w:eastAsia="黑体" w:cs="黑体"/>
          <w:color w:val="000000"/>
          <w:szCs w:val="32"/>
        </w:rPr>
      </w:pPr>
      <w:r>
        <w:rPr>
          <w:rFonts w:hint="eastAsia" w:ascii="黑体" w:hAnsi="黑体" w:eastAsia="黑体" w:cs="黑体"/>
          <w:color w:val="000000"/>
          <w:szCs w:val="32"/>
        </w:rPr>
        <w:t>二、重点任务</w:t>
      </w:r>
    </w:p>
    <w:p w14:paraId="4C03A81D">
      <w:pPr>
        <w:pStyle w:val="2"/>
        <w:ind w:firstLine="643"/>
        <w:rPr>
          <w:rFonts w:ascii="楷体" w:hAnsi="楷体" w:eastAsia="楷体" w:cs="楷体"/>
          <w:b/>
          <w:bCs/>
          <w:color w:val="000000"/>
        </w:rPr>
      </w:pPr>
      <w:r>
        <w:rPr>
          <w:rFonts w:hint="eastAsia" w:ascii="楷体" w:hAnsi="楷体" w:eastAsia="楷体" w:cs="楷体"/>
          <w:b/>
          <w:bCs/>
          <w:color w:val="000000"/>
        </w:rPr>
        <w:t>（一）实施</w:t>
      </w:r>
      <w:r>
        <w:rPr>
          <w:rFonts w:ascii="楷体" w:hAnsi="楷体" w:eastAsia="楷体" w:cs="楷体"/>
          <w:b/>
          <w:bCs/>
          <w:color w:val="000000"/>
        </w:rPr>
        <w:t>产业布局</w:t>
      </w:r>
      <w:r>
        <w:rPr>
          <w:rFonts w:hint="eastAsia" w:ascii="楷体" w:hAnsi="楷体" w:eastAsia="楷体" w:cs="楷体"/>
          <w:b/>
          <w:bCs/>
          <w:color w:val="000000"/>
        </w:rPr>
        <w:t>优化</w:t>
      </w:r>
      <w:r>
        <w:rPr>
          <w:rFonts w:ascii="楷体" w:hAnsi="楷体" w:eastAsia="楷体" w:cs="楷体"/>
          <w:b/>
          <w:bCs/>
          <w:color w:val="000000"/>
        </w:rPr>
        <w:t>行动</w:t>
      </w:r>
    </w:p>
    <w:p w14:paraId="28488382">
      <w:pPr>
        <w:pStyle w:val="2"/>
        <w:ind w:firstLine="643"/>
        <w:rPr>
          <w:rFonts w:ascii="仿宋_GB2312" w:hAnsi="Times New Roman" w:eastAsia="仿宋_GB2312"/>
          <w:color w:val="000000"/>
          <w:szCs w:val="24"/>
        </w:rPr>
      </w:pPr>
      <w:r>
        <w:rPr>
          <w:rFonts w:ascii="仿宋_GB2312" w:hAnsi="仿宋_GB2312" w:eastAsia="仿宋_GB2312" w:cs="仿宋_GB2312"/>
          <w:b/>
          <w:bCs/>
          <w:color w:val="000000"/>
        </w:rPr>
        <w:t>1.</w:t>
      </w:r>
      <w:r>
        <w:rPr>
          <w:rFonts w:hint="eastAsia" w:ascii="仿宋_GB2312" w:hAnsi="仿宋_GB2312" w:eastAsia="仿宋_GB2312" w:cs="仿宋_GB2312"/>
          <w:b/>
          <w:bCs/>
          <w:color w:val="000000"/>
        </w:rPr>
        <w:t>优化区域</w:t>
      </w:r>
      <w:r>
        <w:rPr>
          <w:rFonts w:ascii="仿宋_GB2312" w:hAnsi="仿宋_GB2312" w:eastAsia="仿宋_GB2312" w:cs="仿宋_GB2312"/>
          <w:b/>
          <w:bCs/>
          <w:color w:val="000000"/>
        </w:rPr>
        <w:t>布局</w:t>
      </w:r>
      <w:r>
        <w:rPr>
          <w:rFonts w:hint="eastAsia" w:eastAsia="黑体"/>
          <w:color w:val="000000"/>
        </w:rPr>
        <w:t>。</w:t>
      </w:r>
      <w:r>
        <w:rPr>
          <w:rFonts w:hint="eastAsia" w:ascii="仿宋_GB2312" w:hAnsi="Times New Roman" w:eastAsia="仿宋_GB2312"/>
          <w:color w:val="000000"/>
          <w:szCs w:val="24"/>
        </w:rPr>
        <w:t>根据锦屏县地理、资源与养殖习惯，合理规划布局养殖空间。东部地势平坦、资源丰富的铜鼓、敦寨、新化、隆里、钟灵等5个乡镇规划为养殖核心区，中部交通</w:t>
      </w:r>
      <w:r>
        <w:rPr>
          <w:rFonts w:hint="eastAsia" w:ascii="仿宋_GB2312" w:hAnsi="Times New Roman" w:eastAsia="仿宋_GB2312"/>
          <w:color w:val="000000"/>
          <w:szCs w:val="24"/>
          <w:lang w:eastAsia="zh-CN"/>
        </w:rPr>
        <w:t>便利</w:t>
      </w:r>
      <w:r>
        <w:rPr>
          <w:rFonts w:hint="eastAsia" w:ascii="仿宋_GB2312" w:hAnsi="Times New Roman" w:eastAsia="仿宋_GB2312"/>
          <w:color w:val="000000"/>
          <w:szCs w:val="24"/>
        </w:rPr>
        <w:t xml:space="preserve">的大同、茅坪、偶里、三江、平略、启蒙等6个乡镇规划为养殖适宜区，西部的平秋、彦洞、固本、河口等4个乡镇规划为养殖零星区，形成全县统筹、分区发展的养殖规划布局。 </w:t>
      </w:r>
    </w:p>
    <w:p w14:paraId="160B227A">
      <w:pPr>
        <w:ind w:firstLine="643" w:firstLineChars="200"/>
        <w:rPr>
          <w:rFonts w:ascii="仿宋_GB2312" w:hAnsi="仿宋_GB2312" w:cs="仿宋_GB2312"/>
          <w:color w:val="000000"/>
          <w:szCs w:val="32"/>
        </w:rPr>
      </w:pPr>
      <w:r>
        <w:rPr>
          <w:rFonts w:ascii="仿宋_GB2312" w:hAnsi="仿宋_GB2312" w:cs="仿宋_GB2312"/>
          <w:b/>
          <w:bCs/>
          <w:color w:val="000000"/>
        </w:rPr>
        <w:t>2.</w:t>
      </w:r>
      <w:r>
        <w:rPr>
          <w:rFonts w:hint="eastAsia" w:ascii="仿宋_GB2312" w:hAnsi="仿宋_GB2312" w:cs="仿宋_GB2312"/>
          <w:b/>
          <w:bCs/>
          <w:color w:val="000000"/>
        </w:rPr>
        <w:t>优化结构</w:t>
      </w:r>
      <w:r>
        <w:rPr>
          <w:rFonts w:ascii="仿宋_GB2312" w:hAnsi="仿宋_GB2312" w:cs="仿宋_GB2312"/>
          <w:b/>
          <w:bCs/>
          <w:color w:val="000000"/>
        </w:rPr>
        <w:t>布局</w:t>
      </w:r>
      <w:r>
        <w:rPr>
          <w:rFonts w:hint="eastAsia" w:eastAsia="黑体"/>
          <w:color w:val="000000"/>
        </w:rPr>
        <w:t>。</w:t>
      </w:r>
      <w:r>
        <w:rPr>
          <w:rFonts w:hint="eastAsia" w:ascii="仿宋_GB2312" w:eastAsia="仿宋_GB2312"/>
          <w:color w:val="000000"/>
        </w:rPr>
        <w:t>根据锦屏</w:t>
      </w:r>
      <w:r>
        <w:rPr>
          <w:rFonts w:ascii="仿宋_GB2312" w:eastAsia="仿宋_GB2312"/>
          <w:color w:val="000000"/>
        </w:rPr>
        <w:t>鹅产业发展现状和市场需求，在</w:t>
      </w:r>
      <w:r>
        <w:rPr>
          <w:rFonts w:hint="eastAsia" w:ascii="仿宋_GB2312" w:eastAsia="仿宋_GB2312"/>
          <w:color w:val="000000"/>
        </w:rPr>
        <w:t>主推</w:t>
      </w:r>
      <w:r>
        <w:rPr>
          <w:rFonts w:ascii="仿宋_GB2312" w:eastAsia="仿宋_GB2312"/>
          <w:color w:val="000000"/>
        </w:rPr>
        <w:t>三花鹅等白鹅品种的基础上，适度</w:t>
      </w:r>
      <w:r>
        <w:rPr>
          <w:rFonts w:hint="eastAsia" w:ascii="仿宋_GB2312" w:eastAsia="仿宋_GB2312"/>
          <w:color w:val="000000"/>
        </w:rPr>
        <w:t>规模</w:t>
      </w:r>
      <w:r>
        <w:rPr>
          <w:rFonts w:ascii="仿宋_GB2312" w:eastAsia="仿宋_GB2312"/>
          <w:color w:val="000000"/>
        </w:rPr>
        <w:t>发展狮头鹅等大型鹅品种</w:t>
      </w:r>
      <w:r>
        <w:rPr>
          <w:rFonts w:hint="eastAsia" w:ascii="仿宋_GB2312" w:eastAsia="仿宋_GB2312"/>
          <w:color w:val="000000"/>
        </w:rPr>
        <w:t>，</w:t>
      </w:r>
      <w:r>
        <w:rPr>
          <w:rFonts w:ascii="仿宋_GB2312" w:eastAsia="仿宋_GB2312"/>
          <w:color w:val="000000"/>
        </w:rPr>
        <w:t>进一步优化鹅品种结构</w:t>
      </w:r>
      <w:r>
        <w:rPr>
          <w:rFonts w:hint="eastAsia" w:ascii="仿宋_GB2312" w:eastAsia="仿宋_GB2312"/>
          <w:color w:val="000000"/>
        </w:rPr>
        <w:t>，以</w:t>
      </w:r>
      <w:r>
        <w:rPr>
          <w:rFonts w:ascii="仿宋_GB2312" w:eastAsia="仿宋_GB2312"/>
          <w:color w:val="000000"/>
        </w:rPr>
        <w:t>满足不同市场的需求</w:t>
      </w:r>
      <w:r>
        <w:rPr>
          <w:rFonts w:hint="eastAsia" w:ascii="仿宋_GB2312" w:eastAsia="仿宋_GB2312"/>
          <w:color w:val="000000"/>
        </w:rPr>
        <w:t>。</w:t>
      </w:r>
    </w:p>
    <w:p w14:paraId="3C95D08F">
      <w:pPr>
        <w:ind w:firstLine="643" w:firstLineChars="200"/>
        <w:rPr>
          <w:rFonts w:ascii="仿宋_GB2312" w:eastAsia="仿宋_GB2312"/>
          <w:color w:val="000000"/>
        </w:rPr>
      </w:pPr>
      <w:r>
        <w:rPr>
          <w:rFonts w:ascii="仿宋_GB2312" w:hAnsi="仿宋_GB2312" w:cs="仿宋_GB2312"/>
          <w:b/>
          <w:bCs/>
          <w:color w:val="000000"/>
        </w:rPr>
        <w:t>3.</w:t>
      </w:r>
      <w:r>
        <w:rPr>
          <w:rFonts w:hint="eastAsia" w:ascii="仿宋_GB2312" w:hAnsi="仿宋_GB2312" w:cs="仿宋_GB2312"/>
          <w:b/>
          <w:bCs/>
          <w:color w:val="000000"/>
        </w:rPr>
        <w:t>优化目标</w:t>
      </w:r>
      <w:r>
        <w:rPr>
          <w:rFonts w:ascii="仿宋_GB2312" w:hAnsi="仿宋_GB2312" w:cs="仿宋_GB2312"/>
          <w:b/>
          <w:bCs/>
          <w:color w:val="000000"/>
        </w:rPr>
        <w:t>任务</w:t>
      </w:r>
      <w:r>
        <w:rPr>
          <w:rFonts w:hint="eastAsia" w:ascii="仿宋_GB2312" w:hAnsi="仿宋_GB2312" w:cs="仿宋_GB2312"/>
          <w:b/>
          <w:bCs/>
          <w:color w:val="000000"/>
        </w:rPr>
        <w:t>布局</w:t>
      </w:r>
      <w:r>
        <w:rPr>
          <w:rFonts w:hint="eastAsia" w:eastAsia="黑体"/>
          <w:color w:val="000000"/>
        </w:rPr>
        <w:t>。</w:t>
      </w:r>
      <w:r>
        <w:rPr>
          <w:rFonts w:hint="eastAsia" w:ascii="仿宋_GB2312" w:eastAsia="仿宋_GB2312"/>
          <w:b/>
          <w:color w:val="000000"/>
        </w:rPr>
        <w:t>一是</w:t>
      </w:r>
      <w:r>
        <w:rPr>
          <w:rFonts w:hint="eastAsia" w:ascii="仿宋_GB2312" w:eastAsia="仿宋_GB2312"/>
          <w:color w:val="000000"/>
        </w:rPr>
        <w:t>县属国有企业养殖。按照规模化养殖标准，通过自主养殖或承包出租等多种经营方式，实现满棚多批量养殖，提高资产利用率，2</w:t>
      </w:r>
      <w:r>
        <w:rPr>
          <w:rFonts w:ascii="仿宋_GB2312" w:eastAsia="仿宋_GB2312"/>
          <w:color w:val="000000"/>
        </w:rPr>
        <w:t>025</w:t>
      </w:r>
      <w:r>
        <w:rPr>
          <w:rFonts w:hint="eastAsia" w:ascii="仿宋_GB2312" w:eastAsia="仿宋_GB2312"/>
          <w:color w:val="000000"/>
          <w:lang w:eastAsia="zh-CN"/>
        </w:rPr>
        <w:t>—</w:t>
      </w:r>
      <w:r>
        <w:rPr>
          <w:rFonts w:ascii="仿宋_GB2312" w:eastAsia="仿宋_GB2312"/>
          <w:color w:val="000000"/>
        </w:rPr>
        <w:t>2027</w:t>
      </w:r>
      <w:r>
        <w:rPr>
          <w:rFonts w:hint="eastAsia" w:ascii="仿宋_GB2312" w:eastAsia="仿宋_GB2312"/>
          <w:color w:val="000000"/>
        </w:rPr>
        <w:t>年</w:t>
      </w:r>
      <w:r>
        <w:rPr>
          <w:rFonts w:ascii="仿宋_GB2312" w:eastAsia="仿宋_GB2312"/>
          <w:color w:val="000000"/>
        </w:rPr>
        <w:t>分别</w:t>
      </w:r>
      <w:r>
        <w:rPr>
          <w:rFonts w:hint="eastAsia" w:ascii="仿宋_GB2312" w:eastAsia="仿宋_GB2312"/>
          <w:color w:val="000000"/>
        </w:rPr>
        <w:t>出栏</w:t>
      </w:r>
      <w:r>
        <w:rPr>
          <w:rFonts w:ascii="仿宋_GB2312" w:eastAsia="仿宋_GB2312"/>
          <w:color w:val="000000"/>
        </w:rPr>
        <w:t>46</w:t>
      </w:r>
      <w:r>
        <w:rPr>
          <w:rFonts w:hint="eastAsia" w:ascii="仿宋_GB2312" w:eastAsia="仿宋_GB2312"/>
          <w:color w:val="000000"/>
        </w:rPr>
        <w:t>万元</w:t>
      </w:r>
      <w:r>
        <w:rPr>
          <w:rFonts w:ascii="仿宋_GB2312" w:eastAsia="仿宋_GB2312"/>
          <w:color w:val="000000"/>
        </w:rPr>
        <w:t>、34</w:t>
      </w:r>
      <w:r>
        <w:rPr>
          <w:rFonts w:hint="eastAsia" w:ascii="仿宋_GB2312" w:eastAsia="仿宋_GB2312"/>
          <w:color w:val="000000"/>
        </w:rPr>
        <w:t>万羽</w:t>
      </w:r>
      <w:r>
        <w:rPr>
          <w:rFonts w:ascii="仿宋_GB2312" w:eastAsia="仿宋_GB2312"/>
          <w:color w:val="000000"/>
        </w:rPr>
        <w:t>、34</w:t>
      </w:r>
      <w:r>
        <w:rPr>
          <w:rFonts w:hint="eastAsia" w:ascii="仿宋_GB2312" w:eastAsia="仿宋_GB2312"/>
          <w:color w:val="000000"/>
        </w:rPr>
        <w:t>万羽</w:t>
      </w:r>
      <w:r>
        <w:rPr>
          <w:rFonts w:ascii="仿宋_GB2312" w:eastAsia="仿宋_GB2312"/>
          <w:color w:val="000000"/>
        </w:rPr>
        <w:t>以上</w:t>
      </w:r>
      <w:r>
        <w:rPr>
          <w:rFonts w:hint="eastAsia" w:ascii="仿宋_GB2312" w:eastAsia="仿宋_GB2312"/>
          <w:color w:val="000000"/>
        </w:rPr>
        <w:t>。</w:t>
      </w:r>
      <w:r>
        <w:rPr>
          <w:rFonts w:hint="eastAsia" w:ascii="仿宋_GB2312" w:hAnsi="仿宋_GB2312" w:eastAsia="仿宋_GB2312" w:cs="仿宋_GB2312"/>
          <w:b/>
          <w:color w:val="000000"/>
          <w:szCs w:val="32"/>
        </w:rPr>
        <w:t>二是</w:t>
      </w:r>
      <w:r>
        <w:rPr>
          <w:rFonts w:hint="eastAsia" w:ascii="仿宋_GB2312" w:eastAsia="仿宋_GB2312"/>
          <w:color w:val="000000"/>
        </w:rPr>
        <w:t>引进市场主体参与养殖。通过招商引资，引进国内养殖业优强企业参与全县鹅产业发展，启动铜鼓岔路村标准化养殖基地建设，建成批次养殖规模不少于</w:t>
      </w:r>
      <w:r>
        <w:rPr>
          <w:rFonts w:ascii="仿宋_GB2312" w:eastAsia="仿宋_GB2312"/>
          <w:color w:val="000000"/>
        </w:rPr>
        <w:t>4</w:t>
      </w:r>
      <w:r>
        <w:rPr>
          <w:rFonts w:hint="eastAsia" w:ascii="仿宋_GB2312" w:eastAsia="仿宋_GB2312"/>
          <w:color w:val="000000"/>
        </w:rPr>
        <w:t>0万羽的高标准养殖示范基地，进一步做大全县规模化、标准化养殖体量，2</w:t>
      </w:r>
      <w:r>
        <w:rPr>
          <w:rFonts w:ascii="仿宋_GB2312" w:eastAsia="仿宋_GB2312"/>
          <w:color w:val="000000"/>
        </w:rPr>
        <w:t>025</w:t>
      </w:r>
      <w:r>
        <w:rPr>
          <w:rFonts w:hint="eastAsia" w:ascii="仿宋_GB2312" w:eastAsia="仿宋_GB2312"/>
          <w:color w:val="000000"/>
          <w:lang w:eastAsia="zh-CN"/>
        </w:rPr>
        <w:t>—</w:t>
      </w:r>
      <w:r>
        <w:rPr>
          <w:rFonts w:ascii="仿宋_GB2312" w:eastAsia="仿宋_GB2312"/>
          <w:color w:val="000000"/>
        </w:rPr>
        <w:t>2027</w:t>
      </w:r>
      <w:r>
        <w:rPr>
          <w:rFonts w:hint="eastAsia" w:ascii="仿宋_GB2312" w:eastAsia="仿宋_GB2312"/>
          <w:color w:val="000000"/>
        </w:rPr>
        <w:t>年</w:t>
      </w:r>
      <w:r>
        <w:rPr>
          <w:rFonts w:ascii="仿宋_GB2312" w:eastAsia="仿宋_GB2312"/>
          <w:color w:val="000000"/>
        </w:rPr>
        <w:t>分别</w:t>
      </w:r>
      <w:r>
        <w:rPr>
          <w:rFonts w:hint="eastAsia" w:ascii="仿宋_GB2312" w:eastAsia="仿宋_GB2312"/>
          <w:color w:val="000000"/>
        </w:rPr>
        <w:t>出栏85万羽</w:t>
      </w:r>
      <w:r>
        <w:rPr>
          <w:rFonts w:ascii="仿宋_GB2312" w:eastAsia="仿宋_GB2312"/>
          <w:color w:val="000000"/>
        </w:rPr>
        <w:t>、170</w:t>
      </w:r>
      <w:r>
        <w:rPr>
          <w:rFonts w:hint="eastAsia" w:ascii="仿宋_GB2312" w:eastAsia="仿宋_GB2312"/>
          <w:color w:val="000000"/>
        </w:rPr>
        <w:t>万羽</w:t>
      </w:r>
      <w:r>
        <w:rPr>
          <w:rFonts w:ascii="仿宋_GB2312" w:eastAsia="仿宋_GB2312"/>
          <w:color w:val="000000"/>
        </w:rPr>
        <w:t>、170</w:t>
      </w:r>
      <w:r>
        <w:rPr>
          <w:rFonts w:hint="eastAsia" w:ascii="仿宋_GB2312" w:eastAsia="仿宋_GB2312"/>
          <w:color w:val="000000"/>
        </w:rPr>
        <w:t>万羽</w:t>
      </w:r>
      <w:r>
        <w:rPr>
          <w:rFonts w:ascii="仿宋_GB2312" w:eastAsia="仿宋_GB2312"/>
          <w:color w:val="000000"/>
        </w:rPr>
        <w:t>以上</w:t>
      </w:r>
      <w:r>
        <w:rPr>
          <w:rFonts w:hint="eastAsia" w:ascii="仿宋_GB2312" w:eastAsia="仿宋_GB2312"/>
          <w:color w:val="000000"/>
        </w:rPr>
        <w:t>。</w:t>
      </w:r>
      <w:r>
        <w:rPr>
          <w:rFonts w:hint="eastAsia" w:ascii="仿宋_GB2312" w:hAnsi="仿宋_GB2312" w:eastAsia="仿宋_GB2312" w:cs="仿宋_GB2312"/>
          <w:b/>
          <w:color w:val="000000"/>
          <w:szCs w:val="32"/>
        </w:rPr>
        <w:t>三是</w:t>
      </w:r>
      <w:r>
        <w:rPr>
          <w:rFonts w:hint="eastAsia" w:ascii="仿宋_GB2312" w:eastAsia="仿宋_GB2312"/>
          <w:color w:val="000000"/>
        </w:rPr>
        <w:t>发展大户养殖。按照全县15个乡镇分为养殖核心区、养殖适宜区和养殖零星区的规划布局，养殖</w:t>
      </w:r>
      <w:r>
        <w:rPr>
          <w:rFonts w:ascii="仿宋_GB2312" w:eastAsia="仿宋_GB2312"/>
          <w:color w:val="000000"/>
        </w:rPr>
        <w:t>任务逐渐递减，</w:t>
      </w:r>
      <w:r>
        <w:rPr>
          <w:rFonts w:hint="eastAsia" w:ascii="仿宋_GB2312" w:eastAsia="仿宋_GB2312"/>
          <w:color w:val="000000"/>
        </w:rPr>
        <w:t>推行“公司+农户”合作养殖模式，采取”五统一分”大力发展养殖大户，2</w:t>
      </w:r>
      <w:r>
        <w:rPr>
          <w:rFonts w:ascii="仿宋_GB2312" w:eastAsia="仿宋_GB2312"/>
          <w:color w:val="000000"/>
        </w:rPr>
        <w:t>025</w:t>
      </w:r>
      <w:r>
        <w:rPr>
          <w:rFonts w:hint="eastAsia" w:ascii="仿宋_GB2312" w:eastAsia="仿宋_GB2312"/>
          <w:color w:val="000000"/>
          <w:lang w:eastAsia="zh-CN"/>
        </w:rPr>
        <w:t>—</w:t>
      </w:r>
      <w:r>
        <w:rPr>
          <w:rFonts w:ascii="仿宋_GB2312" w:eastAsia="仿宋_GB2312"/>
          <w:color w:val="000000"/>
        </w:rPr>
        <w:t>2027</w:t>
      </w:r>
      <w:r>
        <w:rPr>
          <w:rFonts w:hint="eastAsia" w:ascii="仿宋_GB2312" w:eastAsia="仿宋_GB2312"/>
          <w:color w:val="000000"/>
        </w:rPr>
        <w:t>年</w:t>
      </w:r>
      <w:r>
        <w:rPr>
          <w:rFonts w:ascii="仿宋_GB2312" w:eastAsia="仿宋_GB2312"/>
          <w:color w:val="000000"/>
        </w:rPr>
        <w:t>分别</w:t>
      </w:r>
      <w:r>
        <w:rPr>
          <w:rFonts w:hint="eastAsia" w:ascii="仿宋_GB2312" w:eastAsia="仿宋_GB2312"/>
          <w:color w:val="000000"/>
        </w:rPr>
        <w:t>出栏17</w:t>
      </w:r>
      <w:r>
        <w:rPr>
          <w:rFonts w:ascii="仿宋_GB2312" w:eastAsia="仿宋_GB2312"/>
          <w:color w:val="000000"/>
        </w:rPr>
        <w:t>6</w:t>
      </w:r>
      <w:r>
        <w:rPr>
          <w:rFonts w:hint="eastAsia" w:ascii="仿宋_GB2312" w:eastAsia="仿宋_GB2312"/>
          <w:color w:val="000000"/>
        </w:rPr>
        <w:t>万羽</w:t>
      </w:r>
      <w:r>
        <w:rPr>
          <w:rFonts w:ascii="仿宋_GB2312" w:eastAsia="仿宋_GB2312"/>
          <w:color w:val="000000"/>
        </w:rPr>
        <w:t>、150</w:t>
      </w:r>
      <w:r>
        <w:rPr>
          <w:rFonts w:hint="eastAsia" w:ascii="仿宋_GB2312" w:eastAsia="仿宋_GB2312"/>
          <w:color w:val="000000"/>
        </w:rPr>
        <w:t>万羽</w:t>
      </w:r>
      <w:r>
        <w:rPr>
          <w:rFonts w:ascii="仿宋_GB2312" w:eastAsia="仿宋_GB2312"/>
          <w:color w:val="000000"/>
        </w:rPr>
        <w:t>、175</w:t>
      </w:r>
      <w:r>
        <w:rPr>
          <w:rFonts w:hint="eastAsia" w:ascii="仿宋_GB2312" w:eastAsia="仿宋_GB2312"/>
          <w:color w:val="000000"/>
        </w:rPr>
        <w:t>万羽</w:t>
      </w:r>
      <w:r>
        <w:rPr>
          <w:rFonts w:ascii="仿宋_GB2312" w:eastAsia="仿宋_GB2312"/>
          <w:color w:val="000000"/>
        </w:rPr>
        <w:t>以上</w:t>
      </w:r>
      <w:r>
        <w:rPr>
          <w:rFonts w:hint="eastAsia" w:ascii="仿宋_GB2312" w:eastAsia="仿宋_GB2312"/>
          <w:color w:val="000000"/>
        </w:rPr>
        <w:t>。</w:t>
      </w:r>
      <w:r>
        <w:rPr>
          <w:rFonts w:hint="eastAsia" w:ascii="仿宋_GB2312" w:hAnsi="仿宋_GB2312" w:eastAsia="仿宋_GB2312" w:cs="仿宋_GB2312"/>
          <w:b/>
          <w:color w:val="000000"/>
          <w:szCs w:val="32"/>
        </w:rPr>
        <w:t>四是</w:t>
      </w:r>
      <w:r>
        <w:rPr>
          <w:rFonts w:hint="eastAsia" w:ascii="仿宋_GB2312" w:eastAsia="仿宋_GB2312"/>
          <w:color w:val="000000"/>
        </w:rPr>
        <w:t>发展社会</w:t>
      </w:r>
      <w:r>
        <w:rPr>
          <w:rFonts w:ascii="仿宋_GB2312" w:eastAsia="仿宋_GB2312"/>
          <w:color w:val="000000"/>
        </w:rPr>
        <w:t>散养户</w:t>
      </w:r>
      <w:r>
        <w:rPr>
          <w:rFonts w:hint="eastAsia" w:ascii="仿宋_GB2312" w:eastAsia="仿宋_GB2312"/>
          <w:color w:val="000000"/>
        </w:rPr>
        <w:t>。鼓励乡村闲散劳动力、弱劳动力、无收入群体按照户均养殖</w:t>
      </w:r>
      <w:r>
        <w:rPr>
          <w:rFonts w:ascii="仿宋_GB2312" w:eastAsia="仿宋_GB2312"/>
          <w:color w:val="000000"/>
        </w:rPr>
        <w:t>1</w:t>
      </w:r>
      <w:r>
        <w:rPr>
          <w:rFonts w:hint="eastAsia" w:ascii="仿宋_GB2312" w:eastAsia="仿宋_GB2312"/>
          <w:color w:val="000000"/>
        </w:rPr>
        <w:t>0-50羽规模，充分发挥不适宜耕作的荒田地、冬闲田等土地资源和季节轮作茬口进行生态放养，年内实现春耕插秧前和秋收后两个批次养殖，2</w:t>
      </w:r>
      <w:r>
        <w:rPr>
          <w:rFonts w:ascii="仿宋_GB2312" w:eastAsia="仿宋_GB2312"/>
          <w:color w:val="000000"/>
        </w:rPr>
        <w:t>025</w:t>
      </w:r>
      <w:r>
        <w:rPr>
          <w:rFonts w:hint="eastAsia" w:ascii="仿宋_GB2312" w:eastAsia="仿宋_GB2312"/>
          <w:color w:val="000000"/>
          <w:lang w:eastAsia="zh-CN"/>
        </w:rPr>
        <w:t>—</w:t>
      </w:r>
      <w:r>
        <w:rPr>
          <w:rFonts w:ascii="仿宋_GB2312" w:eastAsia="仿宋_GB2312"/>
          <w:color w:val="000000"/>
        </w:rPr>
        <w:t>2027</w:t>
      </w:r>
      <w:r>
        <w:rPr>
          <w:rFonts w:hint="eastAsia" w:ascii="仿宋_GB2312" w:eastAsia="仿宋_GB2312"/>
          <w:color w:val="000000"/>
        </w:rPr>
        <w:t>年</w:t>
      </w:r>
      <w:r>
        <w:rPr>
          <w:rFonts w:ascii="仿宋_GB2312" w:eastAsia="仿宋_GB2312"/>
          <w:color w:val="000000"/>
        </w:rPr>
        <w:t>分别</w:t>
      </w:r>
      <w:r>
        <w:rPr>
          <w:rFonts w:hint="eastAsia" w:ascii="仿宋_GB2312" w:eastAsia="仿宋_GB2312"/>
          <w:color w:val="000000"/>
        </w:rPr>
        <w:t>出栏4</w:t>
      </w:r>
      <w:r>
        <w:rPr>
          <w:rFonts w:ascii="仿宋_GB2312" w:eastAsia="仿宋_GB2312"/>
          <w:color w:val="000000"/>
        </w:rPr>
        <w:t>3</w:t>
      </w:r>
      <w:r>
        <w:rPr>
          <w:rFonts w:hint="eastAsia" w:ascii="仿宋_GB2312" w:eastAsia="仿宋_GB2312"/>
          <w:color w:val="000000"/>
        </w:rPr>
        <w:t>万羽</w:t>
      </w:r>
      <w:r>
        <w:rPr>
          <w:rFonts w:ascii="仿宋_GB2312" w:eastAsia="仿宋_GB2312"/>
          <w:color w:val="000000"/>
        </w:rPr>
        <w:t>、21</w:t>
      </w:r>
      <w:r>
        <w:rPr>
          <w:rFonts w:hint="eastAsia" w:ascii="仿宋_GB2312" w:eastAsia="仿宋_GB2312"/>
          <w:color w:val="000000"/>
        </w:rPr>
        <w:t>万羽</w:t>
      </w:r>
      <w:r>
        <w:rPr>
          <w:rFonts w:ascii="仿宋_GB2312" w:eastAsia="仿宋_GB2312"/>
          <w:color w:val="000000"/>
        </w:rPr>
        <w:t>、21</w:t>
      </w:r>
      <w:r>
        <w:rPr>
          <w:rFonts w:hint="eastAsia" w:ascii="仿宋_GB2312" w:eastAsia="仿宋_GB2312"/>
          <w:color w:val="000000"/>
        </w:rPr>
        <w:t>万羽</w:t>
      </w:r>
      <w:r>
        <w:rPr>
          <w:rFonts w:ascii="仿宋_GB2312" w:eastAsia="仿宋_GB2312"/>
          <w:color w:val="000000"/>
        </w:rPr>
        <w:t>以上。</w:t>
      </w:r>
    </w:p>
    <w:p w14:paraId="05202C66">
      <w:pPr>
        <w:ind w:firstLine="640" w:firstLineChars="200"/>
        <w:rPr>
          <w:rFonts w:ascii="仿宋_GB2312" w:eastAsia="仿宋_GB2312"/>
          <w:color w:val="000000"/>
        </w:rPr>
      </w:pPr>
      <w:r>
        <w:rPr>
          <w:rFonts w:hint="eastAsia" w:ascii="仿宋_GB2312" w:eastAsia="仿宋_GB2312"/>
          <w:color w:val="000000"/>
        </w:rPr>
        <w:t>（牵头单位：县农业农村局；责任单位：县林业局、县水务局、县自然资源局、州</w:t>
      </w:r>
      <w:r>
        <w:rPr>
          <w:rFonts w:hint="eastAsia" w:ascii="仿宋_GB2312" w:eastAsia="仿宋_GB2312"/>
          <w:color w:val="000000"/>
          <w:lang w:eastAsia="zh-CN"/>
        </w:rPr>
        <w:t>生态环境局</w:t>
      </w:r>
      <w:r>
        <w:rPr>
          <w:rFonts w:hint="eastAsia" w:ascii="仿宋_GB2312" w:eastAsia="仿宋_GB2312"/>
          <w:color w:val="000000"/>
        </w:rPr>
        <w:t>锦屏分局、各乡镇党委和人民政府）</w:t>
      </w:r>
    </w:p>
    <w:p w14:paraId="7B652AC7">
      <w:pPr>
        <w:pStyle w:val="4"/>
        <w:spacing w:after="0"/>
        <w:ind w:firstLine="643" w:firstLineChars="200"/>
        <w:rPr>
          <w:color w:val="000000"/>
          <w:sz w:val="32"/>
        </w:rPr>
      </w:pPr>
      <w:r>
        <w:rPr>
          <w:rFonts w:hint="eastAsia" w:ascii="楷体" w:hAnsi="楷体" w:eastAsia="楷体" w:cs="楷体"/>
          <w:b/>
          <w:bCs/>
          <w:color w:val="000000"/>
          <w:sz w:val="32"/>
        </w:rPr>
        <w:t>（二）实施养殖模式提升</w:t>
      </w:r>
      <w:r>
        <w:rPr>
          <w:rFonts w:ascii="楷体" w:hAnsi="楷体" w:eastAsia="楷体" w:cs="楷体"/>
          <w:b/>
          <w:bCs/>
          <w:color w:val="000000"/>
          <w:sz w:val="32"/>
        </w:rPr>
        <w:t>行动</w:t>
      </w:r>
      <w:r>
        <w:rPr>
          <w:rFonts w:hint="eastAsia" w:eastAsia="黑体"/>
          <w:color w:val="000000"/>
          <w:sz w:val="32"/>
        </w:rPr>
        <w:t>。</w:t>
      </w:r>
    </w:p>
    <w:p w14:paraId="394137E7">
      <w:pPr>
        <w:ind w:firstLine="803" w:firstLineChars="250"/>
        <w:rPr>
          <w:rFonts w:ascii="仿宋_GB2312" w:eastAsia="仿宋_GB2312"/>
          <w:color w:val="000000"/>
        </w:rPr>
      </w:pPr>
      <w:r>
        <w:rPr>
          <w:rFonts w:ascii="楷体_GB2312" w:hAnsi="楷体_GB2312" w:eastAsia="楷体_GB2312" w:cs="楷体_GB2312"/>
          <w:b/>
          <w:bCs/>
          <w:color w:val="000000"/>
          <w:szCs w:val="32"/>
        </w:rPr>
        <w:t>4.</w:t>
      </w:r>
      <w:r>
        <w:rPr>
          <w:rFonts w:hint="eastAsia" w:ascii="仿宋_GB2312" w:hAnsi="仿宋_GB2312" w:cs="仿宋_GB2312"/>
          <w:b/>
          <w:bCs/>
          <w:color w:val="000000"/>
          <w:szCs w:val="32"/>
        </w:rPr>
        <w:t>发展多种</w:t>
      </w:r>
      <w:r>
        <w:rPr>
          <w:rFonts w:ascii="仿宋_GB2312" w:hAnsi="仿宋_GB2312" w:cs="仿宋_GB2312"/>
          <w:b/>
          <w:bCs/>
          <w:color w:val="000000"/>
          <w:szCs w:val="32"/>
        </w:rPr>
        <w:t>经营模式。</w:t>
      </w:r>
      <w:r>
        <w:rPr>
          <w:rFonts w:hint="eastAsia" w:ascii="仿宋_GB2312" w:eastAsia="仿宋_GB2312"/>
          <w:color w:val="000000"/>
        </w:rPr>
        <w:t>推行“养殖基地+N个养殖小区+X个养殖点”规划理念，因地制宜，统筹规划以养殖小区辐射带动若干个养殖点联动发展的商品鹅养殖基地，形成基础设施配套集中、生产发展条件便利、养殖技术服务管理抱团的相对集中连片发展模式。充分发挥龙头企业联农带农作用，采取“公司+农户</w:t>
      </w:r>
      <w:r>
        <w:rPr>
          <w:rFonts w:hint="eastAsia" w:ascii="仿宋_GB2312" w:eastAsia="仿宋_GB2312"/>
          <w:color w:val="000000"/>
          <w:lang w:eastAsia="zh-CN"/>
        </w:rPr>
        <w:t>”“</w:t>
      </w:r>
      <w:r>
        <w:rPr>
          <w:rFonts w:hint="eastAsia" w:ascii="仿宋_GB2312" w:eastAsia="仿宋_GB2312"/>
          <w:color w:val="000000"/>
        </w:rPr>
        <w:t>公司+合作社</w:t>
      </w:r>
      <w:r>
        <w:rPr>
          <w:rFonts w:hint="eastAsia" w:ascii="仿宋_GB2312" w:eastAsia="仿宋_GB2312"/>
          <w:color w:val="000000"/>
          <w:lang w:eastAsia="zh-CN"/>
        </w:rPr>
        <w:t>”“</w:t>
      </w:r>
      <w:r>
        <w:rPr>
          <w:rFonts w:hint="eastAsia" w:ascii="仿宋_GB2312" w:eastAsia="仿宋_GB2312"/>
          <w:color w:val="000000"/>
        </w:rPr>
        <w:t>公司+合作社+农户”等多种养殖合作模式，扎实推行“五统一分”，全力保障鹅苗质量、饲料供给、技术服务和回收销售，稳定合作农户养殖技术与养殖效益，实现联农带农富</w:t>
      </w:r>
      <w:r>
        <w:rPr>
          <w:rFonts w:ascii="仿宋_GB2312" w:eastAsia="仿宋_GB2312"/>
          <w:color w:val="000000"/>
        </w:rPr>
        <w:t>农</w:t>
      </w:r>
      <w:r>
        <w:rPr>
          <w:rFonts w:hint="eastAsia" w:ascii="仿宋_GB2312" w:eastAsia="仿宋_GB2312"/>
          <w:color w:val="000000"/>
        </w:rPr>
        <w:t>共同发展。</w:t>
      </w:r>
    </w:p>
    <w:p w14:paraId="5BF7E8BA">
      <w:pPr>
        <w:ind w:firstLine="803" w:firstLineChars="250"/>
        <w:rPr>
          <w:rFonts w:ascii="仿宋_GB2312" w:eastAsia="仿宋_GB2312"/>
          <w:color w:val="000000"/>
        </w:rPr>
      </w:pPr>
      <w:r>
        <w:rPr>
          <w:rFonts w:ascii="仿宋_GB2312" w:hAnsi="仿宋_GB2312" w:cs="仿宋_GB2312"/>
          <w:b/>
          <w:color w:val="000000"/>
          <w:szCs w:val="32"/>
        </w:rPr>
        <w:t>5.</w:t>
      </w:r>
      <w:r>
        <w:rPr>
          <w:rFonts w:hint="eastAsia"/>
          <w:b/>
          <w:color w:val="000000"/>
        </w:rPr>
        <w:t xml:space="preserve"> </w:t>
      </w:r>
      <w:r>
        <w:rPr>
          <w:rFonts w:hint="eastAsia" w:ascii="仿宋_GB2312" w:hAnsi="仿宋_GB2312" w:cs="仿宋_GB2312"/>
          <w:b/>
          <w:bCs/>
          <w:color w:val="000000"/>
          <w:szCs w:val="32"/>
        </w:rPr>
        <w:t>推动养殖方式转型升级。</w:t>
      </w:r>
      <w:r>
        <w:rPr>
          <w:rFonts w:hint="eastAsia" w:ascii="仿宋_GB2312" w:eastAsia="仿宋_GB2312"/>
          <w:color w:val="000000"/>
        </w:rPr>
        <w:t>坚持养鹅上山，以林下养殖为主，其他养殖模式共同发展。充分利用县域优越的林地资源条件，实行种养结合，打造林下养殖、循环生态养殖等多种模式养殖示范点，大力发展林下（含经果林）养殖形成生态循环农业，稳步提高县域养殖承载量，持续拓宽“两山”转化路径，实现生态产业化和产业生态化。</w:t>
      </w:r>
    </w:p>
    <w:p w14:paraId="654AC0A9">
      <w:pPr>
        <w:ind w:firstLine="800" w:firstLineChars="250"/>
        <w:rPr>
          <w:rFonts w:ascii="仿宋_GB2312" w:eastAsia="仿宋_GB2312"/>
          <w:color w:val="000000"/>
        </w:rPr>
      </w:pPr>
      <w:r>
        <w:rPr>
          <w:rFonts w:hint="eastAsia" w:ascii="仿宋_GB2312" w:eastAsia="仿宋_GB2312"/>
          <w:color w:val="000000"/>
        </w:rPr>
        <w:t>（牵头单位：县农业农村局；责任单位：</w:t>
      </w:r>
      <w:bookmarkStart w:id="0" w:name="OLE_LINK1"/>
      <w:r>
        <w:rPr>
          <w:rFonts w:hint="eastAsia" w:ascii="仿宋_GB2312" w:eastAsia="仿宋_GB2312"/>
          <w:color w:val="000000"/>
        </w:rPr>
        <w:t>县林业局、县水务局、县自然资源局、州</w:t>
      </w:r>
      <w:r>
        <w:rPr>
          <w:rFonts w:hint="eastAsia" w:ascii="仿宋_GB2312" w:eastAsia="仿宋_GB2312"/>
          <w:color w:val="000000"/>
          <w:lang w:eastAsia="zh-CN"/>
        </w:rPr>
        <w:t>生态环境局</w:t>
      </w:r>
      <w:r>
        <w:rPr>
          <w:rFonts w:hint="eastAsia" w:ascii="仿宋_GB2312" w:eastAsia="仿宋_GB2312"/>
          <w:color w:val="000000"/>
        </w:rPr>
        <w:t>锦屏分局</w:t>
      </w:r>
      <w:bookmarkEnd w:id="0"/>
      <w:r>
        <w:rPr>
          <w:rFonts w:hint="eastAsia" w:ascii="仿宋_GB2312" w:eastAsia="仿宋_GB2312"/>
          <w:color w:val="000000"/>
        </w:rPr>
        <w:t>、各乡镇党委和人民政府）</w:t>
      </w:r>
    </w:p>
    <w:p w14:paraId="2A21EAD3">
      <w:pPr>
        <w:pStyle w:val="4"/>
        <w:spacing w:after="0"/>
        <w:ind w:firstLine="643" w:firstLineChars="200"/>
        <w:rPr>
          <w:color w:val="000000"/>
          <w:sz w:val="32"/>
        </w:rPr>
      </w:pPr>
      <w:r>
        <w:rPr>
          <w:rFonts w:hint="eastAsia" w:ascii="楷体" w:hAnsi="楷体" w:eastAsia="楷体" w:cs="楷体"/>
          <w:b/>
          <w:bCs/>
          <w:color w:val="000000"/>
          <w:sz w:val="32"/>
        </w:rPr>
        <w:t>（三）实施养殖基础设施提升</w:t>
      </w:r>
      <w:r>
        <w:rPr>
          <w:rFonts w:ascii="楷体" w:hAnsi="楷体" w:eastAsia="楷体" w:cs="楷体"/>
          <w:b/>
          <w:bCs/>
          <w:color w:val="000000"/>
          <w:sz w:val="32"/>
        </w:rPr>
        <w:t>行动</w:t>
      </w:r>
      <w:r>
        <w:rPr>
          <w:rFonts w:hint="eastAsia" w:eastAsia="黑体"/>
          <w:color w:val="000000"/>
          <w:sz w:val="32"/>
        </w:rPr>
        <w:t>。</w:t>
      </w:r>
    </w:p>
    <w:p w14:paraId="2CC22E87">
      <w:pPr>
        <w:ind w:firstLine="643" w:firstLineChars="200"/>
        <w:rPr>
          <w:rFonts w:ascii="仿宋_GB2312" w:eastAsia="仿宋_GB2312"/>
          <w:color w:val="000000"/>
        </w:rPr>
      </w:pPr>
      <w:r>
        <w:rPr>
          <w:rFonts w:ascii="楷体_GB2312" w:hAnsi="楷体_GB2312" w:eastAsia="楷体_GB2312" w:cs="楷体_GB2312"/>
          <w:b/>
          <w:bCs/>
          <w:color w:val="000000"/>
          <w:szCs w:val="32"/>
        </w:rPr>
        <w:t>6.</w:t>
      </w:r>
      <w:r>
        <w:rPr>
          <w:rFonts w:hint="eastAsia" w:ascii="楷体_GB2312" w:hAnsi="楷体_GB2312" w:eastAsia="楷体_GB2312" w:cs="楷体_GB2312"/>
          <w:b/>
          <w:bCs/>
          <w:color w:val="000000"/>
          <w:szCs w:val="32"/>
        </w:rPr>
        <w:t>盘活闲置资产。</w:t>
      </w:r>
      <w:r>
        <w:rPr>
          <w:rFonts w:hint="eastAsia" w:ascii="仿宋_GB2312" w:hAnsi="仿宋_GB2312" w:eastAsia="仿宋_GB2312" w:cs="仿宋_GB2312"/>
          <w:b/>
          <w:color w:val="000000"/>
          <w:szCs w:val="32"/>
        </w:rPr>
        <w:t>一是</w:t>
      </w:r>
      <w:r>
        <w:rPr>
          <w:rFonts w:hint="eastAsia" w:ascii="仿宋_GB2312" w:eastAsia="仿宋_GB2312"/>
          <w:color w:val="000000"/>
        </w:rPr>
        <w:t>全面摸清财政资金建设且目前处于闲置的各类养殖资产底数，明确权利主体，落实监督单位和管护责任人，通过出租、合作、承包等多种经营方式，招引养殖主体承接运营管理，提高资产利用率。</w:t>
      </w:r>
      <w:r>
        <w:rPr>
          <w:rFonts w:hint="eastAsia" w:ascii="仿宋_GB2312" w:hAnsi="仿宋_GB2312" w:eastAsia="仿宋_GB2312" w:cs="仿宋_GB2312"/>
          <w:b/>
          <w:color w:val="000000"/>
          <w:szCs w:val="32"/>
        </w:rPr>
        <w:t>二是</w:t>
      </w:r>
      <w:r>
        <w:rPr>
          <w:rFonts w:hint="eastAsia" w:ascii="仿宋_GB2312" w:eastAsia="仿宋_GB2312"/>
          <w:color w:val="000000"/>
        </w:rPr>
        <w:t>实施旧棚改造计划。整合现有乡村振兴产业扶持资金、农业补贴等帮扶政策资源，设立专项旧棚改造资金。以资金补贴的形式，鼓励养殖主体对老旧养殖棚舍进行升级改造。计划到202</w:t>
      </w:r>
      <w:r>
        <w:rPr>
          <w:rFonts w:ascii="仿宋_GB2312" w:eastAsia="仿宋_GB2312"/>
          <w:color w:val="000000"/>
        </w:rPr>
        <w:t>5</w:t>
      </w:r>
      <w:r>
        <w:rPr>
          <w:rFonts w:hint="eastAsia" w:ascii="仿宋_GB2312" w:eastAsia="仿宋_GB2312"/>
          <w:color w:val="000000"/>
        </w:rPr>
        <w:t>年7月</w:t>
      </w:r>
      <w:r>
        <w:rPr>
          <w:rFonts w:ascii="仿宋_GB2312" w:eastAsia="仿宋_GB2312"/>
          <w:color w:val="000000"/>
        </w:rPr>
        <w:t>前</w:t>
      </w:r>
      <w:r>
        <w:rPr>
          <w:rFonts w:hint="eastAsia" w:ascii="仿宋_GB2312" w:eastAsia="仿宋_GB2312"/>
          <w:color w:val="000000"/>
        </w:rPr>
        <w:t>，完成对所有老旧养殖棚舍的改造工作。</w:t>
      </w:r>
    </w:p>
    <w:p w14:paraId="0EBB4D49">
      <w:pPr>
        <w:ind w:firstLine="643" w:firstLineChars="200"/>
        <w:rPr>
          <w:rFonts w:ascii="仿宋_GB2312" w:eastAsia="仿宋_GB2312"/>
          <w:color w:val="000000"/>
        </w:rPr>
      </w:pPr>
      <w:r>
        <w:rPr>
          <w:rFonts w:ascii="楷体_GB2312" w:hAnsi="楷体_GB2312" w:eastAsia="楷体_GB2312" w:cs="楷体_GB2312"/>
          <w:b/>
          <w:bCs/>
          <w:color w:val="000000"/>
          <w:szCs w:val="32"/>
        </w:rPr>
        <w:t>7.</w:t>
      </w:r>
      <w:r>
        <w:rPr>
          <w:rFonts w:hint="eastAsia" w:ascii="楷体_GB2312" w:hAnsi="楷体_GB2312" w:eastAsia="楷体_GB2312" w:cs="楷体_GB2312"/>
          <w:b/>
          <w:bCs/>
          <w:color w:val="000000"/>
          <w:szCs w:val="32"/>
        </w:rPr>
        <w:t>新建标准化养殖单元。</w:t>
      </w:r>
      <w:r>
        <w:rPr>
          <w:rFonts w:hint="eastAsia" w:ascii="仿宋_GB2312" w:eastAsia="仿宋_GB2312"/>
          <w:color w:val="000000"/>
        </w:rPr>
        <w:t>新建商品鹅标准化养殖场，按照锦屏鹅</w:t>
      </w:r>
      <w:r>
        <w:rPr>
          <w:rFonts w:ascii="仿宋_GB2312" w:eastAsia="仿宋_GB2312"/>
          <w:color w:val="000000"/>
        </w:rPr>
        <w:t>产业表转化体系</w:t>
      </w:r>
      <w:r>
        <w:rPr>
          <w:rFonts w:hint="eastAsia" w:ascii="仿宋_GB2312" w:eastAsia="仿宋_GB2312"/>
          <w:color w:val="000000"/>
        </w:rPr>
        <w:t>要求，新建商品鹅标准养殖单元。计划到202</w:t>
      </w:r>
      <w:r>
        <w:rPr>
          <w:rFonts w:ascii="仿宋_GB2312" w:eastAsia="仿宋_GB2312"/>
          <w:color w:val="000000"/>
        </w:rPr>
        <w:t>5</w:t>
      </w:r>
      <w:r>
        <w:rPr>
          <w:rFonts w:hint="eastAsia" w:ascii="仿宋_GB2312" w:eastAsia="仿宋_GB2312"/>
          <w:color w:val="000000"/>
        </w:rPr>
        <w:t>年底，全县新建（改扩建）标准养殖单元</w:t>
      </w:r>
      <w:r>
        <w:rPr>
          <w:rFonts w:ascii="仿宋_GB2312" w:eastAsia="仿宋_GB2312"/>
          <w:color w:val="000000"/>
        </w:rPr>
        <w:t>285</w:t>
      </w:r>
      <w:r>
        <w:rPr>
          <w:rFonts w:hint="eastAsia" w:ascii="仿宋_GB2312" w:eastAsia="仿宋_GB2312"/>
          <w:color w:val="000000"/>
        </w:rPr>
        <w:t>个以上，以满足全县商品鹅养殖规模不断扩大的需求。</w:t>
      </w:r>
    </w:p>
    <w:p w14:paraId="54C1EDBC">
      <w:pPr>
        <w:ind w:firstLine="640" w:firstLineChars="200"/>
        <w:rPr>
          <w:rFonts w:ascii="仿宋_GB2312" w:eastAsia="仿宋_GB2312"/>
          <w:color w:val="000000"/>
        </w:rPr>
      </w:pPr>
      <w:r>
        <w:rPr>
          <w:rFonts w:hint="eastAsia" w:ascii="仿宋_GB2312" w:eastAsia="仿宋_GB2312"/>
          <w:color w:val="000000"/>
        </w:rPr>
        <w:t>（牵头单位：县农业农村局；责任单位：县财政局、县林业局、县生态鹅业公司、各乡镇党委和人民政府）</w:t>
      </w:r>
    </w:p>
    <w:p w14:paraId="0C9F5BF4">
      <w:pPr>
        <w:rPr>
          <w:color w:val="000000"/>
        </w:rPr>
      </w:pPr>
    </w:p>
    <w:p w14:paraId="47629194">
      <w:pPr>
        <w:pStyle w:val="4"/>
        <w:spacing w:after="0"/>
        <w:ind w:firstLine="643" w:firstLineChars="200"/>
        <w:rPr>
          <w:color w:val="000000"/>
          <w:sz w:val="32"/>
        </w:rPr>
      </w:pPr>
      <w:r>
        <w:rPr>
          <w:rFonts w:hint="eastAsia" w:ascii="楷体" w:hAnsi="楷体" w:eastAsia="楷体" w:cs="楷体"/>
          <w:b/>
          <w:bCs/>
          <w:color w:val="000000"/>
          <w:sz w:val="32"/>
        </w:rPr>
        <w:t>（四）实施良种培</w:t>
      </w:r>
      <w:r>
        <w:rPr>
          <w:rFonts w:ascii="楷体" w:hAnsi="楷体" w:eastAsia="楷体" w:cs="楷体"/>
          <w:b/>
          <w:bCs/>
          <w:color w:val="000000"/>
          <w:sz w:val="32"/>
        </w:rPr>
        <w:t>优与扩繁行动</w:t>
      </w:r>
      <w:r>
        <w:rPr>
          <w:rFonts w:hint="eastAsia" w:eastAsia="黑体"/>
          <w:color w:val="000000"/>
          <w:sz w:val="32"/>
        </w:rPr>
        <w:t>。</w:t>
      </w:r>
    </w:p>
    <w:p w14:paraId="405BBF3B">
      <w:pPr>
        <w:pStyle w:val="2"/>
        <w:ind w:firstLine="643"/>
        <w:rPr>
          <w:rFonts w:ascii="仿宋_GB2312" w:hAnsi="Times New Roman" w:eastAsia="仿宋_GB2312"/>
          <w:color w:val="000000"/>
          <w:szCs w:val="24"/>
        </w:rPr>
      </w:pPr>
      <w:r>
        <w:rPr>
          <w:rFonts w:ascii="楷体_GB2312" w:hAnsi="楷体_GB2312" w:eastAsia="楷体_GB2312" w:cs="楷体_GB2312"/>
          <w:b/>
          <w:bCs/>
          <w:color w:val="000000"/>
        </w:rPr>
        <w:t>8.</w:t>
      </w:r>
      <w:r>
        <w:rPr>
          <w:rFonts w:hint="eastAsia" w:ascii="楷体_GB2312" w:hAnsi="楷体_GB2312" w:eastAsia="楷体_GB2312" w:cs="楷体_GB2312"/>
          <w:b/>
          <w:bCs/>
          <w:color w:val="000000"/>
        </w:rPr>
        <w:t>规模扩量与产能提升。</w:t>
      </w:r>
      <w:r>
        <w:rPr>
          <w:rFonts w:hint="eastAsia" w:ascii="仿宋_GB2312" w:hAnsi="仿宋_GB2312" w:eastAsia="仿宋_GB2312" w:cs="仿宋_GB2312"/>
          <w:b/>
          <w:color w:val="000000"/>
        </w:rPr>
        <w:t>一是</w:t>
      </w:r>
      <w:r>
        <w:rPr>
          <w:rFonts w:hint="eastAsia" w:ascii="仿宋_GB2312" w:hAnsi="Times New Roman" w:eastAsia="仿宋_GB2312"/>
          <w:color w:val="000000"/>
          <w:szCs w:val="24"/>
        </w:rPr>
        <w:t>全面梳理锦屏县种鹅养殖现状，深入分析现有养殖规模、分布、养殖模式等情况，制定出清晰明确的种鹅存栏量增长蓝图。设立种鹅引进专项补贴，按引进种鹅的数量和质量给予相应补贴，激发企业和养殖户扩大种鹅养殖规模的积极性。到2025年底，全县种鹅存栏量扩大至10万羽以上，到2027年末，稳固达到1</w:t>
      </w:r>
      <w:r>
        <w:rPr>
          <w:rFonts w:ascii="仿宋_GB2312" w:hAnsi="Times New Roman" w:eastAsia="仿宋_GB2312"/>
          <w:color w:val="000000"/>
          <w:szCs w:val="24"/>
        </w:rPr>
        <w:t>2</w:t>
      </w:r>
      <w:r>
        <w:rPr>
          <w:rFonts w:hint="eastAsia" w:ascii="仿宋_GB2312" w:hAnsi="Times New Roman" w:eastAsia="仿宋_GB2312"/>
          <w:color w:val="000000"/>
          <w:szCs w:val="24"/>
        </w:rPr>
        <w:t>万羽以上，构建起稳定且充足的县域鹅苗供应体系，有效降低对外部鹅苗市场的依赖。</w:t>
      </w:r>
      <w:r>
        <w:rPr>
          <w:rFonts w:hint="eastAsia" w:ascii="仿宋_GB2312" w:hAnsi="仿宋_GB2312" w:eastAsia="仿宋_GB2312" w:cs="仿宋_GB2312"/>
          <w:b/>
          <w:color w:val="000000"/>
        </w:rPr>
        <w:t>二是</w:t>
      </w:r>
      <w:r>
        <w:rPr>
          <w:rFonts w:hint="eastAsia" w:ascii="仿宋_GB2312" w:hAnsi="Times New Roman" w:eastAsia="仿宋_GB2312"/>
          <w:color w:val="000000"/>
          <w:szCs w:val="24"/>
        </w:rPr>
        <w:t>新建种鹅繁育基地，选址于养殖核心区域，高标准建设2个大型种鹅扩繁基地，确保每个基地种鹅存栏量达5万羽以上，且每年能稳定供应优质鹅苗300万羽以上，有力推动全县鹅苗供应的规模化和优质化进程。</w:t>
      </w:r>
    </w:p>
    <w:p w14:paraId="70DD4637">
      <w:pPr>
        <w:pStyle w:val="2"/>
        <w:ind w:firstLine="643"/>
        <w:rPr>
          <w:rFonts w:ascii="仿宋_GB2312" w:hAnsi="Times New Roman" w:eastAsia="仿宋_GB2312"/>
          <w:color w:val="000000"/>
          <w:szCs w:val="24"/>
        </w:rPr>
      </w:pPr>
      <w:r>
        <w:rPr>
          <w:rFonts w:ascii="楷体_GB2312" w:hAnsi="楷体_GB2312" w:eastAsia="楷体_GB2312" w:cs="楷体_GB2312"/>
          <w:b/>
          <w:bCs/>
          <w:color w:val="000000"/>
        </w:rPr>
        <w:t>9.</w:t>
      </w:r>
      <w:r>
        <w:rPr>
          <w:rFonts w:hint="eastAsia" w:ascii="楷体_GB2312" w:hAnsi="楷体_GB2312" w:eastAsia="楷体_GB2312" w:cs="楷体_GB2312"/>
          <w:b/>
          <w:bCs/>
          <w:color w:val="000000"/>
        </w:rPr>
        <w:t>品种培优与品质提升。</w:t>
      </w:r>
      <w:r>
        <w:rPr>
          <w:rFonts w:hint="eastAsia" w:ascii="仿宋_GB2312" w:hAnsi="Times New Roman" w:eastAsia="仿宋_GB2312"/>
          <w:color w:val="000000"/>
          <w:szCs w:val="24"/>
        </w:rPr>
        <w:t>与贵州大学、贵州省农科院等专业科研院校紧密合作，以省农业农村厅支持锦屏县开展“锦屏鹅”品系选育为依托，积极筹措资金，加强与省农科院等科研科技力量合作，用好国家科技特派团水禽体系专家帮扶锦屏的有利资源，推动“锦屏鹅”品系选育成果运用。</w:t>
      </w:r>
    </w:p>
    <w:p w14:paraId="11FC8CEB">
      <w:pPr>
        <w:ind w:firstLine="640" w:firstLineChars="200"/>
        <w:rPr>
          <w:rFonts w:ascii="仿宋_GB2312" w:eastAsia="仿宋_GB2312"/>
          <w:color w:val="000000"/>
        </w:rPr>
      </w:pPr>
      <w:r>
        <w:rPr>
          <w:rFonts w:hint="eastAsia" w:ascii="仿宋_GB2312" w:eastAsia="仿宋_GB2312"/>
          <w:color w:val="000000"/>
        </w:rPr>
        <w:t>（牵头单位：县农业农村局；责任单位：县财政局、县生态鹅业公司、各乡镇党委和人民政府）</w:t>
      </w:r>
    </w:p>
    <w:p w14:paraId="725C8FCB">
      <w:pPr>
        <w:pStyle w:val="4"/>
        <w:spacing w:after="0"/>
        <w:ind w:firstLine="643" w:firstLineChars="200"/>
        <w:rPr>
          <w:color w:val="000000"/>
          <w:sz w:val="32"/>
        </w:rPr>
      </w:pPr>
      <w:r>
        <w:rPr>
          <w:rFonts w:hint="eastAsia" w:ascii="楷体" w:hAnsi="楷体" w:eastAsia="楷体" w:cs="楷体"/>
          <w:b/>
          <w:bCs/>
          <w:color w:val="000000"/>
          <w:sz w:val="32"/>
        </w:rPr>
        <w:t>（五）实施技术</w:t>
      </w:r>
      <w:r>
        <w:rPr>
          <w:rFonts w:ascii="楷体" w:hAnsi="楷体" w:eastAsia="楷体" w:cs="楷体"/>
          <w:b/>
          <w:bCs/>
          <w:color w:val="000000"/>
          <w:sz w:val="32"/>
        </w:rPr>
        <w:t>提升行动</w:t>
      </w:r>
      <w:r>
        <w:rPr>
          <w:rFonts w:hint="eastAsia" w:eastAsia="黑体"/>
          <w:color w:val="000000"/>
          <w:sz w:val="32"/>
        </w:rPr>
        <w:t>。</w:t>
      </w:r>
    </w:p>
    <w:p w14:paraId="6E30B63D">
      <w:pPr>
        <w:ind w:firstLine="643" w:firstLineChars="200"/>
        <w:rPr>
          <w:rFonts w:ascii="仿宋_GB2312" w:eastAsia="仿宋_GB2312"/>
          <w:color w:val="000000"/>
        </w:rPr>
      </w:pPr>
      <w:r>
        <w:rPr>
          <w:rFonts w:hint="eastAsia" w:ascii="楷体_GB2312" w:hAnsi="楷体_GB2312" w:eastAsia="楷体_GB2312" w:cs="楷体_GB2312"/>
          <w:b/>
          <w:bCs/>
          <w:color w:val="000000"/>
          <w:szCs w:val="32"/>
        </w:rPr>
        <w:t>1</w:t>
      </w:r>
      <w:r>
        <w:rPr>
          <w:rFonts w:ascii="楷体_GB2312" w:hAnsi="楷体_GB2312" w:eastAsia="楷体_GB2312" w:cs="楷体_GB2312"/>
          <w:b/>
          <w:bCs/>
          <w:color w:val="000000"/>
          <w:szCs w:val="32"/>
        </w:rPr>
        <w:t>0</w:t>
      </w:r>
      <w:r>
        <w:rPr>
          <w:rFonts w:hint="eastAsia" w:ascii="楷体_GB2312" w:hAnsi="楷体_GB2312" w:eastAsia="楷体_GB2312" w:cs="楷体_GB2312"/>
          <w:b/>
          <w:bCs/>
          <w:color w:val="000000"/>
          <w:szCs w:val="32"/>
        </w:rPr>
        <w:t>.建立</w:t>
      </w:r>
      <w:r>
        <w:rPr>
          <w:rFonts w:ascii="楷体_GB2312" w:hAnsi="楷体_GB2312" w:eastAsia="楷体_GB2312" w:cs="楷体_GB2312"/>
          <w:b/>
          <w:bCs/>
          <w:color w:val="000000"/>
          <w:szCs w:val="32"/>
        </w:rPr>
        <w:t>并</w:t>
      </w:r>
      <w:r>
        <w:rPr>
          <w:rFonts w:hint="eastAsia" w:ascii="楷体_GB2312" w:hAnsi="楷体_GB2312" w:eastAsia="楷体_GB2312" w:cs="楷体_GB2312"/>
          <w:b/>
          <w:bCs/>
          <w:color w:val="000000"/>
          <w:szCs w:val="32"/>
        </w:rPr>
        <w:t>完善技术标准。</w:t>
      </w:r>
      <w:r>
        <w:rPr>
          <w:rFonts w:hint="eastAsia" w:ascii="仿宋_GB2312" w:hAnsi="仿宋_GB2312" w:eastAsia="仿宋_GB2312" w:cs="仿宋_GB2312"/>
          <w:b/>
          <w:color w:val="000000"/>
          <w:szCs w:val="32"/>
        </w:rPr>
        <w:t>一是</w:t>
      </w:r>
      <w:r>
        <w:rPr>
          <w:rFonts w:hint="eastAsia" w:ascii="仿宋_GB2312" w:eastAsia="仿宋_GB2312"/>
          <w:color w:val="000000"/>
        </w:rPr>
        <w:t>推动</w:t>
      </w:r>
      <w:r>
        <w:rPr>
          <w:rFonts w:ascii="仿宋_GB2312" w:eastAsia="仿宋_GB2312"/>
          <w:color w:val="000000"/>
        </w:rPr>
        <w:t>建立</w:t>
      </w:r>
      <w:r>
        <w:rPr>
          <w:rFonts w:hint="eastAsia" w:ascii="仿宋_GB2312" w:eastAsia="仿宋_GB2312"/>
          <w:color w:val="000000"/>
        </w:rPr>
        <w:t>种鹅标准。制定标准化的种鹅选育方法，确保种鹅健康、繁殖能力强，减少遗传疾病的发生，提升后代生产性能。</w:t>
      </w:r>
      <w:r>
        <w:rPr>
          <w:rFonts w:hint="eastAsia" w:ascii="仿宋_GB2312" w:hAnsi="仿宋_GB2312" w:eastAsia="仿宋_GB2312" w:cs="仿宋_GB2312"/>
          <w:b/>
          <w:color w:val="000000"/>
          <w:szCs w:val="32"/>
        </w:rPr>
        <w:t>二是</w:t>
      </w:r>
      <w:r>
        <w:rPr>
          <w:rFonts w:hint="eastAsia" w:ascii="仿宋_GB2312" w:eastAsia="仿宋_GB2312"/>
          <w:color w:val="000000"/>
        </w:rPr>
        <w:t>构建疫病防控标准。根据锦屏县的流行病种，制定相应的免疫程序、疫病防控措施，明确接种时间、疫苗种类相关要求。落实防疫规程，实施疫病全程监测跟踪</w:t>
      </w:r>
      <w:r>
        <w:rPr>
          <w:rFonts w:hint="eastAsia" w:ascii="仿宋_GB2312" w:eastAsia="仿宋_GB2312"/>
          <w:color w:val="000000"/>
          <w:lang w:eastAsia="zh-CN"/>
        </w:rPr>
        <w:t>服务</w:t>
      </w:r>
      <w:r>
        <w:rPr>
          <w:rFonts w:hint="eastAsia" w:ascii="仿宋_GB2312" w:eastAsia="仿宋_GB2312"/>
          <w:color w:val="000000"/>
        </w:rPr>
        <w:t>，构建县、乡、</w:t>
      </w:r>
      <w:r>
        <w:rPr>
          <w:rFonts w:ascii="仿宋_GB2312" w:eastAsia="仿宋_GB2312"/>
          <w:color w:val="000000"/>
        </w:rPr>
        <w:t>村</w:t>
      </w:r>
      <w:r>
        <w:rPr>
          <w:rFonts w:hint="eastAsia" w:ascii="仿宋_GB2312" w:eastAsia="仿宋_GB2312"/>
          <w:color w:val="000000"/>
        </w:rPr>
        <w:t>三级疫病防控监测与</w:t>
      </w:r>
      <w:r>
        <w:rPr>
          <w:rFonts w:hint="eastAsia" w:ascii="仿宋_GB2312" w:eastAsia="仿宋_GB2312"/>
          <w:color w:val="000000"/>
          <w:lang w:eastAsia="zh-CN"/>
        </w:rPr>
        <w:t>服务</w:t>
      </w:r>
      <w:r>
        <w:rPr>
          <w:rFonts w:hint="eastAsia" w:ascii="仿宋_GB2312" w:eastAsia="仿宋_GB2312"/>
          <w:color w:val="000000"/>
        </w:rPr>
        <w:t>网络体系，确保免疫接种覆盖率达100%以上，抗体合格率在70%以上。</w:t>
      </w:r>
      <w:r>
        <w:rPr>
          <w:rFonts w:hint="eastAsia" w:ascii="仿宋_GB2312" w:hAnsi="仿宋_GB2312" w:eastAsia="仿宋_GB2312" w:cs="仿宋_GB2312"/>
          <w:b/>
          <w:color w:val="000000"/>
          <w:szCs w:val="32"/>
        </w:rPr>
        <w:t>三是</w:t>
      </w:r>
      <w:r>
        <w:rPr>
          <w:rFonts w:hint="eastAsia" w:ascii="仿宋_GB2312" w:eastAsia="仿宋_GB2312"/>
          <w:color w:val="000000"/>
        </w:rPr>
        <w:t>制定山区商品鹅养殖标准。利用科技特派团、合作科研院所为支撑，结合地区实际，做好商品鹅社会化养殖的日常饲养生产管理和技术服务指导，通过生产实践摸索，编制锦屏县山区商品鹅养殖技术规程，全面系统指导养殖业健康发展。</w:t>
      </w:r>
    </w:p>
    <w:p w14:paraId="20210330">
      <w:pPr>
        <w:ind w:firstLine="643" w:firstLineChars="200"/>
        <w:rPr>
          <w:rFonts w:ascii="仿宋_GB2312" w:eastAsia="仿宋_GB2312"/>
          <w:color w:val="000000"/>
        </w:rPr>
      </w:pPr>
      <w:r>
        <w:rPr>
          <w:rFonts w:ascii="楷体_GB2312" w:hAnsi="楷体_GB2312" w:eastAsia="楷体_GB2312" w:cs="楷体_GB2312"/>
          <w:b/>
          <w:bCs/>
          <w:color w:val="000000"/>
          <w:szCs w:val="32"/>
        </w:rPr>
        <w:t>11.</w:t>
      </w:r>
      <w:r>
        <w:rPr>
          <w:rFonts w:hint="eastAsia" w:ascii="楷体_GB2312" w:hAnsi="楷体_GB2312" w:eastAsia="楷体_GB2312" w:cs="楷体_GB2312"/>
          <w:b/>
          <w:bCs/>
          <w:color w:val="000000"/>
          <w:szCs w:val="32"/>
        </w:rPr>
        <w:t>加强技术培训。</w:t>
      </w:r>
      <w:r>
        <w:rPr>
          <w:rFonts w:hint="eastAsia" w:ascii="仿宋_GB2312" w:hAnsi="仿宋_GB2312" w:eastAsia="仿宋_GB2312" w:cs="仿宋_GB2312"/>
          <w:b/>
          <w:color w:val="000000"/>
          <w:szCs w:val="32"/>
        </w:rPr>
        <w:t>一是</w:t>
      </w:r>
      <w:r>
        <w:rPr>
          <w:rFonts w:hint="eastAsia" w:ascii="仿宋_GB2312" w:eastAsia="仿宋_GB2312"/>
          <w:color w:val="000000"/>
        </w:rPr>
        <w:t>强化技术指导服务工作的领导。加强与科研院所合作，采取政府购买社会化服务方式，承接全县养殖技术服务指导、培育地方乡土人才和提高养殖大户生产实践技能及水平。</w:t>
      </w:r>
      <w:r>
        <w:rPr>
          <w:rFonts w:hint="eastAsia" w:ascii="仿宋_GB2312" w:hAnsi="仿宋_GB2312" w:eastAsia="仿宋_GB2312" w:cs="仿宋_GB2312"/>
          <w:b/>
          <w:color w:val="000000"/>
          <w:szCs w:val="32"/>
        </w:rPr>
        <w:t>二是</w:t>
      </w:r>
      <w:r>
        <w:rPr>
          <w:rFonts w:hint="eastAsia" w:ascii="仿宋_GB2312" w:eastAsia="仿宋_GB2312"/>
          <w:color w:val="000000"/>
        </w:rPr>
        <w:t>组建县乡村三级技术服务团队。做好专业技术人才的引进和培养，广泛吸纳具备专业技术学历水平、民间土专家、养殖大户等人才组建县乡村三级专业技术服务团队，在第三方专家团队的帮助指导下，不断提高养殖技术理论水平和实操能力。</w:t>
      </w:r>
      <w:r>
        <w:rPr>
          <w:rFonts w:hint="eastAsia" w:ascii="仿宋_GB2312" w:hAnsi="仿宋_GB2312" w:eastAsia="仿宋_GB2312" w:cs="仿宋_GB2312"/>
          <w:b/>
          <w:color w:val="000000"/>
          <w:szCs w:val="32"/>
        </w:rPr>
        <w:t>三是</w:t>
      </w:r>
      <w:r>
        <w:rPr>
          <w:rFonts w:hint="eastAsia" w:ascii="仿宋_GB2312" w:eastAsia="仿宋_GB2312"/>
          <w:color w:val="000000"/>
        </w:rPr>
        <w:t>创办县级养殖技术培训基地。总结提炼山区养殖技术经验，编制山区养殖培训教程，开展“理论学习+现场观摩+实践养殖”三位一体的养殖技术培训，每年度举办养殖技术培训4期以上，实现全县养殖大户全员培训，稳定提高养殖技术水平，降低养殖风险，提高养殖效益。</w:t>
      </w:r>
      <w:r>
        <w:rPr>
          <w:rFonts w:hint="eastAsia" w:ascii="仿宋_GB2312" w:hAnsi="仿宋_GB2312" w:eastAsia="仿宋_GB2312" w:cs="仿宋_GB2312"/>
          <w:b/>
          <w:color w:val="000000"/>
          <w:szCs w:val="32"/>
        </w:rPr>
        <w:t>四是</w:t>
      </w:r>
      <w:r>
        <w:rPr>
          <w:rFonts w:hint="eastAsia" w:ascii="仿宋_GB2312" w:eastAsia="仿宋_GB2312"/>
          <w:color w:val="000000"/>
        </w:rPr>
        <w:t>拓展线上培训渠道，利用网络平台开设养殖技术线上课程，定期邀请专家进行直播授课、在线答疑，提高养殖</w:t>
      </w:r>
      <w:r>
        <w:rPr>
          <w:rFonts w:ascii="仿宋_GB2312" w:eastAsia="仿宋_GB2312"/>
          <w:color w:val="000000"/>
        </w:rPr>
        <w:t>技术水平</w:t>
      </w:r>
      <w:r>
        <w:rPr>
          <w:rFonts w:hint="eastAsia" w:ascii="仿宋_GB2312" w:eastAsia="仿宋_GB2312"/>
          <w:color w:val="000000"/>
        </w:rPr>
        <w:t>。</w:t>
      </w:r>
    </w:p>
    <w:p w14:paraId="580B11D0">
      <w:pPr>
        <w:ind w:firstLine="640" w:firstLineChars="200"/>
        <w:rPr>
          <w:rFonts w:ascii="仿宋_GB2312" w:eastAsia="仿宋_GB2312"/>
          <w:color w:val="000000"/>
        </w:rPr>
      </w:pPr>
      <w:r>
        <w:rPr>
          <w:rFonts w:hint="eastAsia" w:ascii="仿宋_GB2312" w:eastAsia="仿宋_GB2312"/>
          <w:color w:val="000000"/>
        </w:rPr>
        <w:t>（牵头单位：县农业农村局；责任单位：县市场监督管理局、县人力资源和社会保障局、县工信商务局、县生态鹅业公司）</w:t>
      </w:r>
    </w:p>
    <w:p w14:paraId="5730CD33">
      <w:pPr>
        <w:pStyle w:val="4"/>
        <w:spacing w:after="0"/>
        <w:ind w:firstLine="643" w:firstLineChars="200"/>
        <w:rPr>
          <w:color w:val="000000"/>
          <w:sz w:val="32"/>
        </w:rPr>
      </w:pPr>
      <w:r>
        <w:rPr>
          <w:rFonts w:hint="eastAsia" w:ascii="楷体" w:hAnsi="楷体" w:eastAsia="楷体" w:cs="楷体"/>
          <w:b/>
          <w:bCs/>
          <w:color w:val="000000"/>
          <w:sz w:val="32"/>
        </w:rPr>
        <w:t>（六）实施养殖主体</w:t>
      </w:r>
      <w:r>
        <w:rPr>
          <w:rFonts w:ascii="楷体" w:hAnsi="楷体" w:eastAsia="楷体" w:cs="楷体"/>
          <w:b/>
          <w:bCs/>
          <w:color w:val="000000"/>
          <w:sz w:val="32"/>
        </w:rPr>
        <w:t>培育行动</w:t>
      </w:r>
      <w:r>
        <w:rPr>
          <w:rFonts w:hint="eastAsia" w:eastAsia="黑体"/>
          <w:color w:val="000000"/>
          <w:sz w:val="32"/>
        </w:rPr>
        <w:t>。</w:t>
      </w:r>
    </w:p>
    <w:p w14:paraId="192C8FFF">
      <w:pPr>
        <w:ind w:firstLine="643" w:firstLineChars="200"/>
        <w:rPr>
          <w:rFonts w:ascii="仿宋_GB2312" w:eastAsia="仿宋_GB2312"/>
          <w:color w:val="000000"/>
        </w:rPr>
      </w:pPr>
      <w:r>
        <w:rPr>
          <w:rFonts w:hint="eastAsia" w:ascii="楷体_GB2312" w:hAnsi="楷体_GB2312" w:eastAsia="楷体_GB2312" w:cs="楷体_GB2312"/>
          <w:b/>
          <w:bCs/>
          <w:color w:val="000000"/>
          <w:szCs w:val="32"/>
        </w:rPr>
        <w:t>1</w:t>
      </w:r>
      <w:r>
        <w:rPr>
          <w:rFonts w:ascii="楷体_GB2312" w:hAnsi="楷体_GB2312" w:eastAsia="楷体_GB2312" w:cs="楷体_GB2312"/>
          <w:b/>
          <w:bCs/>
          <w:color w:val="000000"/>
          <w:szCs w:val="32"/>
        </w:rPr>
        <w:t>2.</w:t>
      </w:r>
      <w:r>
        <w:rPr>
          <w:rFonts w:hint="eastAsia" w:ascii="楷体_GB2312" w:hAnsi="楷体_GB2312" w:eastAsia="楷体_GB2312" w:cs="楷体_GB2312"/>
          <w:b/>
          <w:bCs/>
          <w:color w:val="000000"/>
          <w:szCs w:val="32"/>
        </w:rPr>
        <w:t>做强龙头企业</w:t>
      </w:r>
      <w:r>
        <w:rPr>
          <w:rFonts w:hint="eastAsia" w:ascii="仿宋_GB2312" w:hAnsi="仿宋_GB2312" w:cs="仿宋_GB2312"/>
          <w:color w:val="000000"/>
          <w:szCs w:val="32"/>
        </w:rPr>
        <w:t>。</w:t>
      </w:r>
      <w:r>
        <w:rPr>
          <w:rFonts w:hint="eastAsia" w:ascii="仿宋_GB2312" w:hAnsi="仿宋_GB2312" w:eastAsia="仿宋_GB2312" w:cs="仿宋_GB2312"/>
          <w:b/>
          <w:color w:val="000000"/>
          <w:szCs w:val="32"/>
        </w:rPr>
        <w:t>一是</w:t>
      </w:r>
      <w:r>
        <w:rPr>
          <w:rFonts w:hint="eastAsia" w:ascii="仿宋_GB2312" w:eastAsia="仿宋_GB2312"/>
          <w:color w:val="000000"/>
        </w:rPr>
        <w:t>做强种业龙头企业。支持县域内企业持续深耕种鹅养殖领域，扩大种鹅养殖规模，种鹅稳定存栏量1</w:t>
      </w:r>
      <w:r>
        <w:rPr>
          <w:rFonts w:ascii="仿宋_GB2312" w:eastAsia="仿宋_GB2312"/>
          <w:color w:val="000000"/>
        </w:rPr>
        <w:t>2</w:t>
      </w:r>
      <w:r>
        <w:rPr>
          <w:rFonts w:hint="eastAsia" w:ascii="仿宋_GB2312" w:eastAsia="仿宋_GB2312"/>
          <w:color w:val="000000"/>
        </w:rPr>
        <w:t>万羽以上，保障县域鹅苗供应需求，不断扩大销售市场份额，逐步提升市场影响力和知名度。</w:t>
      </w:r>
      <w:r>
        <w:rPr>
          <w:rFonts w:hint="eastAsia" w:ascii="仿宋_GB2312" w:hAnsi="仿宋_GB2312" w:eastAsia="仿宋_GB2312" w:cs="仿宋_GB2312"/>
          <w:b/>
          <w:color w:val="000000"/>
          <w:szCs w:val="32"/>
        </w:rPr>
        <w:t>二是</w:t>
      </w:r>
      <w:r>
        <w:rPr>
          <w:rFonts w:hint="eastAsia" w:ascii="仿宋_GB2312" w:eastAsia="仿宋_GB2312"/>
          <w:color w:val="000000"/>
        </w:rPr>
        <w:t>扶持壮大经营主体。鼓励引进企业深度参与种鹅养殖、商品鹅养殖、鹅肉制品加工、销售全产业链发展，对进驻本县实施商品鹅规模化养殖、采取“公司+农户”带动农户合作养殖的民营企业，在项目申报、项目用地、配套基础设施建设、贴息贷款、市场销售等方面给予政策倾斜，巩固提升联农带农合作成果。至2027年末，全县培育3家以上规模以上民营企业，民营企业养殖量占全县养殖量的30%以上。（牵头单位：县财政局；责任单位：投资促进局</w:t>
      </w:r>
      <w:r>
        <w:rPr>
          <w:rFonts w:ascii="仿宋_GB2312" w:eastAsia="仿宋_GB2312"/>
          <w:color w:val="000000"/>
        </w:rPr>
        <w:t>、</w:t>
      </w:r>
      <w:r>
        <w:rPr>
          <w:rFonts w:hint="eastAsia" w:ascii="仿宋_GB2312" w:eastAsia="仿宋_GB2312"/>
          <w:color w:val="000000"/>
        </w:rPr>
        <w:t>县农业农村局、县生态鹅业公司）</w:t>
      </w:r>
    </w:p>
    <w:p w14:paraId="32C22F2B">
      <w:pPr>
        <w:ind w:firstLine="643" w:firstLineChars="200"/>
        <w:rPr>
          <w:rFonts w:ascii="仿宋_GB2312" w:eastAsia="仿宋_GB2312"/>
          <w:color w:val="000000"/>
        </w:rPr>
      </w:pPr>
      <w:r>
        <w:rPr>
          <w:rFonts w:ascii="楷体_GB2312" w:hAnsi="楷体_GB2312" w:eastAsia="楷体_GB2312" w:cs="楷体_GB2312"/>
          <w:b/>
          <w:bCs/>
          <w:color w:val="000000"/>
          <w:szCs w:val="32"/>
        </w:rPr>
        <w:t>13.</w:t>
      </w:r>
      <w:r>
        <w:rPr>
          <w:rFonts w:hint="eastAsia" w:ascii="楷体_GB2312" w:hAnsi="楷体_GB2312" w:eastAsia="楷体_GB2312" w:cs="楷体_GB2312"/>
          <w:b/>
          <w:bCs/>
          <w:color w:val="000000"/>
          <w:szCs w:val="32"/>
        </w:rPr>
        <w:t>培育多种养殖主体。</w:t>
      </w:r>
      <w:r>
        <w:rPr>
          <w:rFonts w:hint="eastAsia" w:ascii="仿宋_GB2312" w:hAnsi="仿宋_GB2312" w:eastAsia="仿宋_GB2312" w:cs="仿宋_GB2312"/>
          <w:b/>
          <w:color w:val="000000"/>
          <w:szCs w:val="32"/>
        </w:rPr>
        <w:t>一是</w:t>
      </w:r>
      <w:r>
        <w:rPr>
          <w:rFonts w:hint="eastAsia" w:ascii="仿宋_GB2312" w:eastAsia="仿宋_GB2312"/>
          <w:color w:val="000000"/>
        </w:rPr>
        <w:t>大力发展养殖大户，确保社会化养殖基本盘不动摇。加强对现有养殖大户技术服务指导，巩固提升现有养殖基础，持续采取“公司+农户</w:t>
      </w:r>
      <w:r>
        <w:rPr>
          <w:rFonts w:hint="eastAsia" w:ascii="仿宋_GB2312" w:eastAsia="仿宋_GB2312"/>
          <w:color w:val="000000"/>
          <w:lang w:eastAsia="zh-CN"/>
        </w:rPr>
        <w:t>”“</w:t>
      </w:r>
      <w:r>
        <w:rPr>
          <w:rFonts w:hint="eastAsia" w:ascii="仿宋_GB2312" w:eastAsia="仿宋_GB2312"/>
          <w:color w:val="000000"/>
        </w:rPr>
        <w:t>合作社+农户”等多种养殖模式，进一步扩大养殖合作范围，培育和发展更多养殖户成为养殖大户、养殖专业户。到2027年末，全县共发展养殖大户</w:t>
      </w:r>
      <w:r>
        <w:rPr>
          <w:rFonts w:ascii="仿宋_GB2312" w:eastAsia="仿宋_GB2312"/>
          <w:color w:val="000000"/>
        </w:rPr>
        <w:t>150</w:t>
      </w:r>
      <w:r>
        <w:rPr>
          <w:rFonts w:hint="eastAsia" w:ascii="仿宋_GB2312" w:eastAsia="仿宋_GB2312"/>
          <w:color w:val="000000"/>
        </w:rPr>
        <w:t>户以上。</w:t>
      </w:r>
      <w:r>
        <w:rPr>
          <w:rFonts w:hint="eastAsia" w:ascii="仿宋_GB2312" w:hAnsi="仿宋_GB2312" w:eastAsia="仿宋_GB2312" w:cs="仿宋_GB2312"/>
          <w:b/>
          <w:color w:val="000000"/>
          <w:szCs w:val="32"/>
        </w:rPr>
        <w:t>二是</w:t>
      </w:r>
      <w:r>
        <w:rPr>
          <w:rFonts w:hint="eastAsia" w:ascii="仿宋_GB2312" w:eastAsia="仿宋_GB2312"/>
          <w:color w:val="000000"/>
        </w:rPr>
        <w:t>家庭农场提质增效。积极</w:t>
      </w:r>
      <w:r>
        <w:rPr>
          <w:rFonts w:ascii="仿宋_GB2312" w:eastAsia="仿宋_GB2312"/>
          <w:color w:val="000000"/>
        </w:rPr>
        <w:t>引导</w:t>
      </w:r>
      <w:r>
        <w:rPr>
          <w:rFonts w:hint="eastAsia" w:ascii="仿宋_GB2312" w:eastAsia="仿宋_GB2312"/>
          <w:color w:val="000000"/>
        </w:rPr>
        <w:t>养殖主体创办家庭农场，进一步规范选址布局、设施配备、技术操作、疫病防控与环保要求等，促进规范化、规模化发展，规范提升林下养殖、生态循环养殖等多种模式示范典型，推动家庭农场与农户合作，构建“家庭农场+农户”合作模式，引领更多养殖大户向标准化家庭农场转变，对发挥示范带动效应的家庭农场给予资金补贴与政策扶持。到2027年末，全县共创办家庭农场100个以上。</w:t>
      </w:r>
      <w:r>
        <w:rPr>
          <w:rFonts w:hint="eastAsia" w:ascii="仿宋_GB2312" w:hAnsi="仿宋_GB2312" w:eastAsia="仿宋_GB2312" w:cs="仿宋_GB2312"/>
          <w:b/>
          <w:color w:val="000000"/>
          <w:szCs w:val="32"/>
        </w:rPr>
        <w:t>三是</w:t>
      </w:r>
      <w:r>
        <w:rPr>
          <w:rFonts w:hint="eastAsia" w:ascii="仿宋_GB2312" w:eastAsia="仿宋_GB2312"/>
          <w:color w:val="000000"/>
        </w:rPr>
        <w:t>鼓励村集体经济组织领办养殖专业合作社，提高商品鹅养殖产业的组织化程度。结合现有政策条件，各乡镇</w:t>
      </w:r>
      <w:r>
        <w:rPr>
          <w:rFonts w:ascii="仿宋_GB2312" w:eastAsia="仿宋_GB2312"/>
          <w:color w:val="000000"/>
        </w:rPr>
        <w:t>组织村集体经济组织为主体建设商品鹅养殖圈舍，</w:t>
      </w:r>
      <w:r>
        <w:rPr>
          <w:rFonts w:hint="eastAsia" w:ascii="仿宋_GB2312" w:eastAsia="仿宋_GB2312"/>
          <w:color w:val="000000"/>
        </w:rPr>
        <w:t>将</w:t>
      </w:r>
      <w:r>
        <w:rPr>
          <w:rFonts w:ascii="仿宋_GB2312" w:eastAsia="仿宋_GB2312"/>
          <w:color w:val="000000"/>
        </w:rPr>
        <w:t>圈舍</w:t>
      </w:r>
      <w:r>
        <w:rPr>
          <w:rFonts w:hint="eastAsia" w:ascii="仿宋_GB2312" w:eastAsia="仿宋_GB2312"/>
          <w:color w:val="000000"/>
        </w:rPr>
        <w:t>出租</w:t>
      </w:r>
      <w:r>
        <w:rPr>
          <w:rFonts w:ascii="仿宋_GB2312" w:eastAsia="仿宋_GB2312"/>
          <w:color w:val="000000"/>
        </w:rPr>
        <w:t>给养殖大户，收取圈舍租赁费用于壮大村集体经济</w:t>
      </w:r>
      <w:r>
        <w:rPr>
          <w:rFonts w:hint="eastAsia" w:ascii="仿宋_GB2312" w:eastAsia="仿宋_GB2312"/>
          <w:color w:val="000000"/>
        </w:rPr>
        <w:t>。</w:t>
      </w:r>
    </w:p>
    <w:p w14:paraId="5CD38ACF">
      <w:pPr>
        <w:ind w:firstLine="640" w:firstLineChars="200"/>
        <w:rPr>
          <w:rFonts w:ascii="仿宋_GB2312" w:eastAsia="仿宋_GB2312"/>
          <w:color w:val="000000"/>
        </w:rPr>
      </w:pPr>
      <w:r>
        <w:rPr>
          <w:rFonts w:hint="eastAsia" w:ascii="仿宋_GB2312" w:eastAsia="仿宋_GB2312"/>
          <w:color w:val="000000"/>
        </w:rPr>
        <w:t>（牵头单位：县农业农村局；责任单位：各乡镇党委和人民政府）</w:t>
      </w:r>
    </w:p>
    <w:p w14:paraId="7C73F043">
      <w:pPr>
        <w:pStyle w:val="4"/>
        <w:spacing w:after="0"/>
        <w:ind w:firstLine="643" w:firstLineChars="200"/>
        <w:rPr>
          <w:color w:val="000000"/>
          <w:sz w:val="32"/>
        </w:rPr>
      </w:pPr>
      <w:r>
        <w:rPr>
          <w:rFonts w:hint="eastAsia" w:ascii="楷体" w:hAnsi="楷体" w:eastAsia="楷体" w:cs="楷体"/>
          <w:b/>
          <w:bCs/>
          <w:color w:val="000000"/>
          <w:sz w:val="32"/>
        </w:rPr>
        <w:t>（七）实施市场拓展营销</w:t>
      </w:r>
      <w:r>
        <w:rPr>
          <w:rFonts w:ascii="楷体" w:hAnsi="楷体" w:eastAsia="楷体" w:cs="楷体"/>
          <w:b/>
          <w:bCs/>
          <w:color w:val="000000"/>
          <w:sz w:val="32"/>
        </w:rPr>
        <w:t>行动</w:t>
      </w:r>
      <w:r>
        <w:rPr>
          <w:rFonts w:hint="eastAsia" w:eastAsia="黑体"/>
          <w:color w:val="000000"/>
          <w:sz w:val="32"/>
        </w:rPr>
        <w:t>。</w:t>
      </w:r>
    </w:p>
    <w:p w14:paraId="5C9F6F28">
      <w:pPr>
        <w:ind w:firstLine="643" w:firstLineChars="200"/>
        <w:rPr>
          <w:rFonts w:ascii="仿宋_GB2312" w:eastAsia="仿宋_GB2312"/>
          <w:color w:val="000000"/>
        </w:rPr>
      </w:pPr>
      <w:r>
        <w:rPr>
          <w:rFonts w:hint="eastAsia" w:ascii="楷体_GB2312" w:hAnsi="楷体_GB2312" w:eastAsia="楷体_GB2312" w:cs="楷体_GB2312"/>
          <w:b/>
          <w:bCs/>
          <w:color w:val="000000"/>
          <w:szCs w:val="32"/>
        </w:rPr>
        <w:t>1</w:t>
      </w:r>
      <w:r>
        <w:rPr>
          <w:rFonts w:ascii="楷体_GB2312" w:hAnsi="楷体_GB2312" w:eastAsia="楷体_GB2312" w:cs="楷体_GB2312"/>
          <w:b/>
          <w:bCs/>
          <w:color w:val="000000"/>
          <w:szCs w:val="32"/>
        </w:rPr>
        <w:t>4</w:t>
      </w:r>
      <w:r>
        <w:rPr>
          <w:rFonts w:hint="eastAsia" w:ascii="楷体_GB2312" w:hAnsi="楷体_GB2312" w:eastAsia="楷体_GB2312" w:cs="楷体_GB2312"/>
          <w:b/>
          <w:bCs/>
          <w:color w:val="000000"/>
          <w:szCs w:val="32"/>
        </w:rPr>
        <w:t>.拓宽销售渠道。</w:t>
      </w:r>
      <w:r>
        <w:rPr>
          <w:rFonts w:hint="eastAsia" w:ascii="仿宋_GB2312" w:hAnsi="仿宋_GB2312" w:eastAsia="仿宋_GB2312" w:cs="仿宋_GB2312"/>
          <w:b/>
          <w:color w:val="000000"/>
          <w:szCs w:val="32"/>
        </w:rPr>
        <w:t>一是</w:t>
      </w:r>
      <w:r>
        <w:rPr>
          <w:rFonts w:hint="eastAsia" w:ascii="仿宋_GB2312" w:eastAsia="仿宋_GB2312"/>
          <w:color w:val="000000"/>
        </w:rPr>
        <w:t>巩固活禽销售市场。持续巩固与湖南、四川、重庆等周边城市农产品批发市场供销关系，稳步提升活禽市场供应量，最大限度提高养殖利润空间。</w:t>
      </w:r>
      <w:r>
        <w:rPr>
          <w:rFonts w:hint="eastAsia" w:ascii="仿宋_GB2312" w:hAnsi="仿宋_GB2312" w:eastAsia="仿宋_GB2312" w:cs="仿宋_GB2312"/>
          <w:b/>
          <w:color w:val="000000"/>
          <w:szCs w:val="32"/>
        </w:rPr>
        <w:t>二是</w:t>
      </w:r>
      <w:r>
        <w:rPr>
          <w:rFonts w:hint="eastAsia" w:ascii="仿宋_GB2312" w:eastAsia="仿宋_GB2312"/>
          <w:color w:val="000000"/>
        </w:rPr>
        <w:t>畅通白条屠宰市场，动态建立县内商品鹅收购保底价，鼓励和扶持养殖户与屠宰场建立长期稳定的合作关系，养殖户按照屠宰场收购标准及要求养殖，屠宰场就近收购本地商品鹅，实现本地养殖、本地销售、本地屠宰，筑牢鹅产业接二连三关键环节。</w:t>
      </w:r>
      <w:r>
        <w:rPr>
          <w:rFonts w:hint="eastAsia" w:ascii="仿宋_GB2312" w:hAnsi="仿宋_GB2312" w:eastAsia="仿宋_GB2312" w:cs="仿宋_GB2312"/>
          <w:b/>
          <w:color w:val="000000"/>
          <w:szCs w:val="32"/>
        </w:rPr>
        <w:t>三是</w:t>
      </w:r>
      <w:r>
        <w:rPr>
          <w:rFonts w:hint="eastAsia" w:ascii="仿宋_GB2312" w:eastAsia="仿宋_GB2312"/>
          <w:color w:val="000000"/>
        </w:rPr>
        <w:t>搭建线上销售平台。开拓电商销售平台，携手淘宝、京东、</w:t>
      </w:r>
      <w:r>
        <w:rPr>
          <w:rFonts w:ascii="仿宋_GB2312" w:eastAsia="仿宋_GB2312"/>
          <w:color w:val="000000"/>
        </w:rPr>
        <w:t>抖音</w:t>
      </w:r>
      <w:r>
        <w:rPr>
          <w:rFonts w:hint="eastAsia" w:ascii="仿宋_GB2312" w:eastAsia="仿宋_GB2312"/>
          <w:color w:val="000000"/>
        </w:rPr>
        <w:t>等电商平台，发展社区团购销售模式，与农产品销售平台合作，将锦屏生态鹅产品推送到餐馆、居民餐桌，实现年销售量达50万羽以上。</w:t>
      </w:r>
    </w:p>
    <w:p w14:paraId="5DD789CC">
      <w:pPr>
        <w:ind w:firstLine="640" w:firstLineChars="200"/>
        <w:rPr>
          <w:rFonts w:ascii="仿宋_GB2312" w:eastAsia="仿宋_GB2312"/>
          <w:color w:val="000000"/>
        </w:rPr>
      </w:pPr>
      <w:r>
        <w:rPr>
          <w:rFonts w:hint="eastAsia" w:ascii="仿宋_GB2312" w:eastAsia="仿宋_GB2312"/>
          <w:color w:val="000000"/>
        </w:rPr>
        <w:t>（牵头单位：县工信商务局；责任单位：县农业农村局、各乡镇党委和人民政府）</w:t>
      </w:r>
    </w:p>
    <w:p w14:paraId="339E4D6A">
      <w:pPr>
        <w:ind w:firstLine="643" w:firstLineChars="200"/>
        <w:rPr>
          <w:rFonts w:ascii="仿宋_GB2312" w:eastAsia="仿宋_GB2312"/>
          <w:color w:val="000000"/>
        </w:rPr>
      </w:pPr>
      <w:r>
        <w:rPr>
          <w:rFonts w:ascii="楷体_GB2312" w:hAnsi="楷体_GB2312" w:eastAsia="楷体_GB2312" w:cs="楷体_GB2312"/>
          <w:b/>
          <w:bCs/>
          <w:color w:val="000000"/>
          <w:szCs w:val="32"/>
        </w:rPr>
        <w:t>15.</w:t>
      </w:r>
      <w:r>
        <w:rPr>
          <w:rFonts w:hint="eastAsia" w:ascii="楷体_GB2312" w:hAnsi="楷体_GB2312" w:eastAsia="楷体_GB2312" w:cs="楷体_GB2312"/>
          <w:b/>
          <w:bCs/>
          <w:color w:val="000000"/>
          <w:szCs w:val="32"/>
        </w:rPr>
        <w:t>丰富</w:t>
      </w:r>
      <w:r>
        <w:rPr>
          <w:rFonts w:ascii="楷体_GB2312" w:hAnsi="楷体_GB2312" w:eastAsia="楷体_GB2312" w:cs="楷体_GB2312"/>
          <w:b/>
          <w:bCs/>
          <w:color w:val="000000"/>
          <w:szCs w:val="32"/>
        </w:rPr>
        <w:t>营销</w:t>
      </w:r>
      <w:r>
        <w:rPr>
          <w:rFonts w:hint="eastAsia" w:ascii="楷体_GB2312" w:hAnsi="楷体_GB2312" w:eastAsia="楷体_GB2312" w:cs="楷体_GB2312"/>
          <w:b/>
          <w:bCs/>
          <w:color w:val="000000"/>
          <w:szCs w:val="32"/>
        </w:rPr>
        <w:t>手段。</w:t>
      </w:r>
      <w:r>
        <w:rPr>
          <w:rFonts w:hint="eastAsia" w:ascii="仿宋_GB2312" w:hAnsi="仿宋_GB2312" w:eastAsia="仿宋_GB2312" w:cs="仿宋_GB2312"/>
          <w:b/>
          <w:color w:val="000000"/>
          <w:szCs w:val="32"/>
        </w:rPr>
        <w:t>一是</w:t>
      </w:r>
      <w:r>
        <w:rPr>
          <w:rFonts w:hint="eastAsia" w:ascii="仿宋_GB2312" w:eastAsia="仿宋_GB2312"/>
          <w:color w:val="000000"/>
        </w:rPr>
        <w:t>打造锦屏鹅公共品牌。加强鹅产品区域公共品牌打造和管理，积极打造生态鹅品牌，加快无公害、绿色、有机农产品培育力度和认证。</w:t>
      </w:r>
      <w:r>
        <w:rPr>
          <w:rFonts w:hint="eastAsia" w:ascii="仿宋_GB2312" w:hAnsi="仿宋_GB2312" w:eastAsia="仿宋_GB2312" w:cs="仿宋_GB2312"/>
          <w:b/>
          <w:color w:val="000000"/>
          <w:szCs w:val="32"/>
        </w:rPr>
        <w:t>二是</w:t>
      </w:r>
      <w:r>
        <w:rPr>
          <w:rFonts w:hint="eastAsia" w:ascii="仿宋_GB2312" w:eastAsia="仿宋_GB2312"/>
          <w:color w:val="000000"/>
        </w:rPr>
        <w:t>培育国内鹅文化艺术节IP。将中国农民丰收节活动具体化为锦屏鹅文化艺术节，每年举办一次以鹅为话题的系列活动，持续打造成为国内知名鹅文化艺术节IP，举办集鹅美食、鹅王</w:t>
      </w:r>
      <w:r>
        <w:rPr>
          <w:rFonts w:hint="eastAsia" w:ascii="仿宋_GB2312" w:eastAsia="仿宋_GB2312"/>
          <w:color w:val="000000"/>
          <w:lang w:eastAsia="zh-CN"/>
        </w:rPr>
        <w:t>选拔</w:t>
      </w:r>
      <w:r>
        <w:rPr>
          <w:rFonts w:hint="eastAsia" w:ascii="仿宋_GB2312" w:eastAsia="仿宋_GB2312"/>
          <w:color w:val="000000"/>
        </w:rPr>
        <w:t>、文艺演出、鹅制品展销、鹅游艺活动、鹅产业高峰论坛等的综合文化艺术活动，宣传推广鹅产</w:t>
      </w:r>
      <w:r>
        <w:rPr>
          <w:rFonts w:hint="eastAsia" w:ascii="仿宋_GB2312" w:eastAsia="仿宋_GB2312"/>
          <w:color w:val="000000"/>
          <w:lang w:eastAsia="zh-CN"/>
        </w:rPr>
        <w:t>业和</w:t>
      </w:r>
      <w:r>
        <w:rPr>
          <w:rFonts w:hint="eastAsia" w:ascii="仿宋_GB2312" w:eastAsia="仿宋_GB2312"/>
          <w:color w:val="000000"/>
        </w:rPr>
        <w:t>鹅产品。</w:t>
      </w:r>
      <w:r>
        <w:rPr>
          <w:rFonts w:hint="eastAsia" w:ascii="仿宋_GB2312" w:hAnsi="仿宋_GB2312" w:eastAsia="仿宋_GB2312" w:cs="仿宋_GB2312"/>
          <w:b/>
          <w:color w:val="000000"/>
          <w:szCs w:val="32"/>
        </w:rPr>
        <w:t>三是</w:t>
      </w:r>
      <w:r>
        <w:rPr>
          <w:rFonts w:hint="eastAsia" w:ascii="仿宋_GB2312" w:eastAsia="仿宋_GB2312"/>
          <w:color w:val="000000"/>
        </w:rPr>
        <w:t>宣传推广鹅饮食文化。结合周边地区饮食习惯开发鹅元素餐饮品牌，广泛开展市场调研，加强与黔菜学院、省州餐饮协会和知名餐饮品牌等的研发合作，甄选适合锦屏生态鹅特色的深加工鹅肉制品，以“锦屏味道”为目标，深挖锦屏生态鹅文化故事，全力打造锦屏生态鹅饮食文化。</w:t>
      </w:r>
    </w:p>
    <w:p w14:paraId="43F1B112">
      <w:pPr>
        <w:ind w:firstLine="640" w:firstLineChars="200"/>
        <w:rPr>
          <w:rFonts w:ascii="仿宋_GB2312" w:eastAsia="仿宋_GB2312"/>
          <w:color w:val="000000"/>
        </w:rPr>
      </w:pPr>
      <w:r>
        <w:rPr>
          <w:rFonts w:hint="eastAsia" w:ascii="仿宋_GB2312" w:eastAsia="仿宋_GB2312"/>
          <w:color w:val="000000"/>
        </w:rPr>
        <w:t>（牵头单位：县工信商务局；责任单位：县委宣传部、县农业农村局</w:t>
      </w:r>
      <w:r>
        <w:rPr>
          <w:rFonts w:hint="eastAsia" w:ascii="仿宋_GB2312" w:eastAsia="仿宋_GB2312"/>
          <w:color w:val="000000"/>
          <w:lang w:eastAsia="zh-CN"/>
        </w:rPr>
        <w:t>、县</w:t>
      </w:r>
      <w:r>
        <w:rPr>
          <w:rFonts w:hint="eastAsia" w:ascii="仿宋_GB2312" w:eastAsia="仿宋_GB2312"/>
          <w:color w:val="000000"/>
        </w:rPr>
        <w:t>文体广电旅游局、县市场监督管理局、县住建管理局、县生态鹅业公司）</w:t>
      </w:r>
    </w:p>
    <w:p w14:paraId="0D474EAD">
      <w:pPr>
        <w:pStyle w:val="4"/>
        <w:spacing w:after="0"/>
        <w:ind w:firstLine="643" w:firstLineChars="200"/>
        <w:rPr>
          <w:color w:val="000000"/>
          <w:sz w:val="32"/>
        </w:rPr>
      </w:pPr>
      <w:r>
        <w:rPr>
          <w:rFonts w:hint="eastAsia" w:ascii="楷体" w:hAnsi="楷体" w:eastAsia="楷体" w:cs="楷体"/>
          <w:b/>
          <w:bCs/>
          <w:color w:val="000000"/>
          <w:sz w:val="32"/>
        </w:rPr>
        <w:t>（八）实施产业融合</w:t>
      </w:r>
      <w:r>
        <w:rPr>
          <w:rFonts w:ascii="楷体" w:hAnsi="楷体" w:eastAsia="楷体" w:cs="楷体"/>
          <w:b/>
          <w:bCs/>
          <w:color w:val="000000"/>
          <w:sz w:val="32"/>
        </w:rPr>
        <w:t>发展行动</w:t>
      </w:r>
      <w:r>
        <w:rPr>
          <w:rFonts w:hint="eastAsia" w:eastAsia="黑体"/>
          <w:color w:val="000000"/>
          <w:sz w:val="32"/>
        </w:rPr>
        <w:t>。</w:t>
      </w:r>
    </w:p>
    <w:p w14:paraId="1F8FFEFE">
      <w:pPr>
        <w:ind w:firstLine="640" w:firstLineChars="200"/>
        <w:rPr>
          <w:rFonts w:ascii="仿宋_GB2312" w:eastAsia="仿宋_GB2312"/>
          <w:color w:val="000000"/>
        </w:rPr>
      </w:pPr>
      <w:r>
        <w:rPr>
          <w:rFonts w:hint="eastAsia" w:ascii="黑体" w:hAnsi="黑体" w:eastAsia="黑体" w:cs="黑体"/>
          <w:color w:val="000000"/>
          <w:szCs w:val="32"/>
        </w:rPr>
        <w:t>1</w:t>
      </w:r>
      <w:r>
        <w:rPr>
          <w:rFonts w:ascii="黑体" w:hAnsi="黑体" w:eastAsia="黑体" w:cs="黑体"/>
          <w:color w:val="000000"/>
          <w:szCs w:val="32"/>
        </w:rPr>
        <w:t>6.</w:t>
      </w:r>
      <w:r>
        <w:rPr>
          <w:rFonts w:hint="eastAsia" w:ascii="楷体_GB2312" w:hAnsi="楷体_GB2312" w:eastAsia="楷体_GB2312" w:cs="楷体_GB2312"/>
          <w:b/>
          <w:bCs/>
          <w:color w:val="000000"/>
          <w:szCs w:val="32"/>
        </w:rPr>
        <w:t>加大项目编制。</w:t>
      </w:r>
      <w:r>
        <w:rPr>
          <w:rFonts w:hint="eastAsia" w:ascii="仿宋_GB2312" w:eastAsia="仿宋_GB2312"/>
          <w:color w:val="000000"/>
        </w:rPr>
        <w:t>围绕补齐鹅产业发展各个配套环节，编制一批商品鹅标准化养殖、饲料加工、有机肥加工、鹅肉制品加工、鹅毛鹅绒加工等产业链短板项目，谋划一批农文旅体融合项目，实现全产业链项目编制全覆盖。积极争取上级政策支持，将鹅产业链项目纳入国家、省、州特色产业发展项目库建设，确保项目顺利推进。建立项目跟踪服务机制，定期对项目进展状况进行督查与评估，保障项目质量与效益达成预期目标。</w:t>
      </w:r>
    </w:p>
    <w:p w14:paraId="6DCBAE4B">
      <w:pPr>
        <w:ind w:firstLine="640" w:firstLineChars="200"/>
        <w:rPr>
          <w:rFonts w:ascii="仿宋_GB2312" w:eastAsia="仿宋_GB2312"/>
          <w:color w:val="000000"/>
        </w:rPr>
      </w:pPr>
      <w:r>
        <w:rPr>
          <w:rFonts w:hint="eastAsia" w:ascii="仿宋_GB2312" w:eastAsia="仿宋_GB2312"/>
          <w:color w:val="000000"/>
        </w:rPr>
        <w:t>（牵头单位：县发展改革局；责任单位：贵州锦屏经济开发区管委会、县农业农村局、县工信商务局）</w:t>
      </w:r>
    </w:p>
    <w:p w14:paraId="0C02BD8E">
      <w:pPr>
        <w:ind w:firstLine="643" w:firstLineChars="200"/>
        <w:rPr>
          <w:rFonts w:ascii="仿宋_GB2312" w:eastAsia="仿宋_GB2312"/>
          <w:color w:val="000000"/>
        </w:rPr>
      </w:pPr>
      <w:r>
        <w:rPr>
          <w:rFonts w:ascii="楷体_GB2312" w:hAnsi="楷体_GB2312" w:eastAsia="楷体_GB2312" w:cs="楷体_GB2312"/>
          <w:b/>
          <w:bCs/>
          <w:color w:val="000000"/>
          <w:szCs w:val="32"/>
        </w:rPr>
        <w:t>17.</w:t>
      </w:r>
      <w:r>
        <w:rPr>
          <w:rFonts w:hint="eastAsia" w:ascii="楷体_GB2312" w:hAnsi="楷体_GB2312" w:eastAsia="楷体_GB2312" w:cs="楷体_GB2312"/>
          <w:b/>
          <w:bCs/>
          <w:color w:val="000000"/>
          <w:szCs w:val="32"/>
        </w:rPr>
        <w:t>实施精准招商。</w:t>
      </w:r>
      <w:r>
        <w:rPr>
          <w:rFonts w:hint="eastAsia" w:ascii="仿宋_GB2312" w:eastAsia="仿宋_GB2312"/>
          <w:color w:val="000000"/>
        </w:rPr>
        <w:t>制定鹅全产业链招商引资优惠措施，充分发挥省州驻外联络机构、驻点招商小组、招商公司、中央定点帮扶单位等力量实施精准招商，吸引国内外知名企业投资锦屏支撑鹅产业发展的技术和市场等要素保障。重点引进养殖、饲料加工、有机肥加工、鹅肉制品加工、鹅毛鹅绒加工等产业链项目落户锦屏，研发生产鹅肉预制菜、鹅羽绒制品等高附加值产品，延伸产业链，提升产业整体效益。到2027年末，力争引进3个以上优强企业落户锦屏，实现鹅产业链条闭环发展，全产业链综合产值力争达到3亿元，产业附加值稳步提高。</w:t>
      </w:r>
    </w:p>
    <w:p w14:paraId="19F13799">
      <w:pPr>
        <w:ind w:firstLine="640" w:firstLineChars="200"/>
        <w:rPr>
          <w:rFonts w:ascii="仿宋_GB2312" w:eastAsia="仿宋_GB2312"/>
          <w:color w:val="000000"/>
        </w:rPr>
      </w:pPr>
      <w:r>
        <w:rPr>
          <w:rFonts w:hint="eastAsia" w:ascii="仿宋_GB2312" w:eastAsia="仿宋_GB2312"/>
          <w:color w:val="000000"/>
        </w:rPr>
        <w:t>（牵头单位：县投资促进局；责任单位：县各招商成员单位）</w:t>
      </w:r>
    </w:p>
    <w:p w14:paraId="2FEDD261">
      <w:pPr>
        <w:pStyle w:val="4"/>
        <w:spacing w:after="0"/>
        <w:ind w:firstLine="643" w:firstLineChars="200"/>
        <w:rPr>
          <w:color w:val="000000"/>
          <w:sz w:val="32"/>
        </w:rPr>
      </w:pPr>
      <w:r>
        <w:rPr>
          <w:rFonts w:hint="eastAsia" w:ascii="楷体" w:hAnsi="楷体" w:eastAsia="楷体" w:cs="楷体"/>
          <w:b/>
          <w:bCs/>
          <w:color w:val="000000"/>
          <w:sz w:val="32"/>
        </w:rPr>
        <w:t>（九）实施要素保障</w:t>
      </w:r>
      <w:r>
        <w:rPr>
          <w:rFonts w:ascii="楷体" w:hAnsi="楷体" w:eastAsia="楷体" w:cs="楷体"/>
          <w:b/>
          <w:bCs/>
          <w:color w:val="000000"/>
          <w:sz w:val="32"/>
        </w:rPr>
        <w:t>提升行动</w:t>
      </w:r>
      <w:r>
        <w:rPr>
          <w:rFonts w:hint="eastAsia" w:eastAsia="黑体"/>
          <w:color w:val="000000"/>
          <w:sz w:val="32"/>
        </w:rPr>
        <w:t>。</w:t>
      </w:r>
    </w:p>
    <w:p w14:paraId="39054C08">
      <w:pPr>
        <w:ind w:firstLine="640" w:firstLineChars="200"/>
        <w:rPr>
          <w:rFonts w:ascii="仿宋_GB2312" w:eastAsia="仿宋_GB2312"/>
          <w:color w:val="000000"/>
        </w:rPr>
      </w:pPr>
      <w:r>
        <w:rPr>
          <w:rFonts w:hint="eastAsia" w:ascii="黑体" w:hAnsi="黑体" w:eastAsia="黑体" w:cs="黑体"/>
          <w:color w:val="000000"/>
          <w:szCs w:val="32"/>
        </w:rPr>
        <w:t>1</w:t>
      </w:r>
      <w:r>
        <w:rPr>
          <w:rFonts w:ascii="黑体" w:hAnsi="黑体" w:eastAsia="黑体" w:cs="黑体"/>
          <w:color w:val="000000"/>
          <w:szCs w:val="32"/>
        </w:rPr>
        <w:t>8.</w:t>
      </w:r>
      <w:r>
        <w:rPr>
          <w:rFonts w:hint="eastAsia" w:ascii="楷体_GB2312" w:hAnsi="楷体_GB2312" w:eastAsia="楷体_GB2312" w:cs="楷体_GB2312"/>
          <w:b/>
          <w:bCs/>
          <w:color w:val="000000"/>
          <w:szCs w:val="32"/>
        </w:rPr>
        <w:t>强化金融扶持。</w:t>
      </w:r>
      <w:r>
        <w:rPr>
          <w:rFonts w:hint="eastAsia" w:ascii="仿宋_GB2312" w:hAnsi="仿宋_GB2312" w:eastAsia="仿宋_GB2312" w:cs="仿宋_GB2312"/>
          <w:b/>
          <w:color w:val="000000"/>
          <w:szCs w:val="32"/>
        </w:rPr>
        <w:t>一是</w:t>
      </w:r>
      <w:r>
        <w:rPr>
          <w:rFonts w:hint="eastAsia" w:ascii="仿宋_GB2312" w:eastAsia="仿宋_GB2312"/>
          <w:color w:val="000000"/>
        </w:rPr>
        <w:t>创新金融服务。加强与银行业等金融机构紧密合作，建立锦屏县鹅产业发展专项基金，专项用于县域内各类市场主体在鹅养殖、加工、技术研发等关键环节的融资贷款、贴息等金融支持，切实降低市场主体融资成本和资金压力；鼓励银行业等金融机构大胆探索创新，推出契合鹅全产业链发展的特色金融产品，重点扶持标准化规模生产、家庭农场、产品加工、市场建设、饲料和有机肥生产等领域。</w:t>
      </w:r>
      <w:r>
        <w:rPr>
          <w:rFonts w:hint="eastAsia" w:ascii="仿宋_GB2312" w:hAnsi="仿宋_GB2312" w:eastAsia="仿宋_GB2312" w:cs="仿宋_GB2312"/>
          <w:b/>
          <w:color w:val="000000"/>
          <w:szCs w:val="32"/>
        </w:rPr>
        <w:t>二是</w:t>
      </w:r>
      <w:r>
        <w:rPr>
          <w:rFonts w:hint="eastAsia" w:ascii="仿宋_GB2312" w:eastAsia="仿宋_GB2312"/>
          <w:color w:val="000000"/>
        </w:rPr>
        <w:t>持续加大财政资金投入，确保每年乡村振兴衔接资金用于支持鹅产业发展的资金占比不低于20%。重点加大对各类市场主体养殖基础设施投入、回收销售、技术服务等关键环节的支持力度。鼓励规模化养殖，对达到一定养殖规模的市场主体根据年度养殖出栏数量给予奖励扶持，通过连续三年的集中财力支持，确保鹅产业基础稳定。</w:t>
      </w:r>
      <w:r>
        <w:rPr>
          <w:rFonts w:hint="eastAsia" w:ascii="仿宋_GB2312" w:hAnsi="仿宋_GB2312" w:eastAsia="仿宋_GB2312" w:cs="仿宋_GB2312"/>
          <w:b/>
          <w:color w:val="000000"/>
          <w:szCs w:val="32"/>
        </w:rPr>
        <w:t>三是</w:t>
      </w:r>
      <w:r>
        <w:rPr>
          <w:rFonts w:hint="eastAsia" w:ascii="仿宋_GB2312" w:eastAsia="仿宋_GB2312"/>
          <w:color w:val="000000"/>
        </w:rPr>
        <w:t>鼓励保险机构积极开发种鹅、商品鹅市场价格保险系列产品，引导各类养殖主体主动投保，有效降低养殖风险和市场风险。（牵头单位：县农业农村局、县财政局；责任单位：县各金融机构、保险机构、各乡镇人民政府）</w:t>
      </w:r>
    </w:p>
    <w:p w14:paraId="2B146253">
      <w:pPr>
        <w:ind w:firstLine="643" w:firstLineChars="200"/>
        <w:rPr>
          <w:rFonts w:ascii="仿宋_GB2312" w:eastAsia="仿宋_GB2312"/>
          <w:color w:val="000000"/>
        </w:rPr>
      </w:pPr>
      <w:r>
        <w:rPr>
          <w:rFonts w:ascii="楷体_GB2312" w:hAnsi="楷体_GB2312" w:eastAsia="楷体_GB2312" w:cs="楷体_GB2312"/>
          <w:b/>
          <w:bCs/>
          <w:color w:val="000000"/>
          <w:szCs w:val="32"/>
        </w:rPr>
        <w:t>19.</w:t>
      </w:r>
      <w:r>
        <w:rPr>
          <w:rFonts w:hint="eastAsia" w:ascii="楷体_GB2312" w:hAnsi="楷体_GB2312" w:eastAsia="楷体_GB2312" w:cs="楷体_GB2312"/>
          <w:b/>
          <w:bCs/>
          <w:color w:val="000000"/>
          <w:szCs w:val="32"/>
        </w:rPr>
        <w:t>保障要素供给。</w:t>
      </w:r>
      <w:r>
        <w:rPr>
          <w:rFonts w:hint="eastAsia" w:ascii="仿宋_GB2312" w:hAnsi="仿宋_GB2312" w:eastAsia="仿宋_GB2312" w:cs="仿宋_GB2312"/>
          <w:b/>
          <w:color w:val="000000"/>
          <w:szCs w:val="32"/>
        </w:rPr>
        <w:t>一是</w:t>
      </w:r>
      <w:r>
        <w:rPr>
          <w:rFonts w:hint="eastAsia" w:ascii="仿宋_GB2312" w:eastAsia="仿宋_GB2312"/>
          <w:color w:val="000000"/>
        </w:rPr>
        <w:t>强化用地保障。县自然资源、林业等部门依法依规为鹅产业发展保驾护航，严守环保、耕地保护、公益林等红线，充分挖掘全县适宜养殖的林地、天然草场、水域流域等资源潜力，统筹规划，优先保障鹅产业养殖、加工用地需求。</w:t>
      </w:r>
      <w:r>
        <w:rPr>
          <w:rFonts w:hint="eastAsia" w:ascii="仿宋_GB2312" w:hAnsi="仿宋_GB2312" w:eastAsia="仿宋_GB2312" w:cs="仿宋_GB2312"/>
          <w:b/>
          <w:color w:val="000000"/>
          <w:szCs w:val="32"/>
        </w:rPr>
        <w:t>二是</w:t>
      </w:r>
      <w:r>
        <w:rPr>
          <w:rFonts w:hint="eastAsia" w:ascii="仿宋_GB2312" w:eastAsia="仿宋_GB2312"/>
          <w:color w:val="000000"/>
        </w:rPr>
        <w:t>简化用地审批手续，缩短审批时间，推进“一窗受理”，为产业发展提供便捷、高效的用地服务。</w:t>
      </w:r>
      <w:r>
        <w:rPr>
          <w:rFonts w:hint="eastAsia" w:ascii="仿宋_GB2312" w:hAnsi="仿宋_GB2312" w:eastAsia="仿宋_GB2312" w:cs="仿宋_GB2312"/>
          <w:b/>
          <w:color w:val="000000"/>
          <w:szCs w:val="32"/>
        </w:rPr>
        <w:t>三是</w:t>
      </w:r>
      <w:r>
        <w:rPr>
          <w:rFonts w:hint="eastAsia" w:ascii="仿宋_GB2312" w:eastAsia="仿宋_GB2312"/>
          <w:color w:val="000000"/>
        </w:rPr>
        <w:t>推进配套设施建设。县水务、交通、电力、通信等部门加大投入力度，着力完善养殖基地的道路、电力、用水、通信等配套设施建设，严格落实产业通路、用电等政策，为鹅产业发展筑牢硬件基础，确保产业运营顺畅。</w:t>
      </w:r>
    </w:p>
    <w:p w14:paraId="2B65D500">
      <w:pPr>
        <w:ind w:firstLine="640" w:firstLineChars="200"/>
        <w:rPr>
          <w:rFonts w:ascii="仿宋_GB2312" w:eastAsia="仿宋_GB2312"/>
          <w:color w:val="000000"/>
        </w:rPr>
      </w:pPr>
      <w:r>
        <w:rPr>
          <w:rFonts w:hint="eastAsia" w:ascii="仿宋_GB2312" w:eastAsia="仿宋_GB2312"/>
          <w:color w:val="000000"/>
        </w:rPr>
        <w:t>（牵头单位：县自然资源局；责任单位：县农业农村局、县林业局、县水务局、州生态环境局锦屏分局、县交通局、县供电局、各乡镇人民政府）</w:t>
      </w:r>
    </w:p>
    <w:p w14:paraId="4053B080">
      <w:pPr>
        <w:ind w:firstLine="643" w:firstLineChars="200"/>
        <w:rPr>
          <w:rFonts w:ascii="仿宋_GB2312" w:eastAsia="仿宋_GB2312"/>
          <w:color w:val="000000"/>
        </w:rPr>
      </w:pPr>
      <w:r>
        <w:rPr>
          <w:rFonts w:ascii="楷体_GB2312" w:hAnsi="楷体_GB2312" w:eastAsia="楷体_GB2312" w:cs="楷体_GB2312"/>
          <w:b/>
          <w:bCs/>
          <w:color w:val="000000"/>
          <w:szCs w:val="32"/>
        </w:rPr>
        <w:t>20.</w:t>
      </w:r>
      <w:r>
        <w:rPr>
          <w:rFonts w:hint="eastAsia" w:ascii="楷体_GB2312" w:hAnsi="楷体_GB2312" w:eastAsia="楷体_GB2312" w:cs="楷体_GB2312"/>
          <w:b/>
          <w:bCs/>
          <w:color w:val="000000"/>
          <w:szCs w:val="32"/>
        </w:rPr>
        <w:t>强化科技服务。</w:t>
      </w:r>
      <w:r>
        <w:rPr>
          <w:rFonts w:hint="eastAsia" w:ascii="仿宋_GB2312" w:hAnsi="仿宋_GB2312" w:eastAsia="仿宋_GB2312" w:cs="仿宋_GB2312"/>
          <w:b/>
          <w:color w:val="000000"/>
          <w:szCs w:val="32"/>
        </w:rPr>
        <w:t>一是</w:t>
      </w:r>
      <w:r>
        <w:rPr>
          <w:rFonts w:hint="eastAsia" w:ascii="仿宋_GB2312" w:eastAsia="仿宋_GB2312"/>
          <w:color w:val="000000"/>
        </w:rPr>
        <w:t>构建完备的科技服务保障体系。建立鹅养殖专家咨询服务机制，深度嵌入“产学研”合作网络，围绕科技培训、疫病防控、标准建设、质量监管、产品加工储运及营销、品牌创建等关键环节精耕细作。积极向省级部门争资引项，聚焦种鹅资源、标准化生产、疫病防控、集约化养殖环保、精深加工工艺等核心技术领域攻坚克难，力求实现重大突破。</w:t>
      </w:r>
      <w:r>
        <w:rPr>
          <w:rFonts w:hint="eastAsia" w:ascii="仿宋_GB2312" w:hAnsi="仿宋_GB2312" w:eastAsia="仿宋_GB2312" w:cs="仿宋_GB2312"/>
          <w:b/>
          <w:color w:val="000000"/>
          <w:szCs w:val="32"/>
        </w:rPr>
        <w:t>二是</w:t>
      </w:r>
      <w:r>
        <w:rPr>
          <w:rFonts w:hint="eastAsia" w:ascii="仿宋_GB2312" w:eastAsia="仿宋_GB2312"/>
          <w:color w:val="000000"/>
        </w:rPr>
        <w:t>夯实科技人才根基。加大人才引进力度，主动与高校、科研机构携手，按年度规划精准引入5名高科技人才，提供前沿技术指导与智力支撑，注入创新发展动力。同时，深耕本土人才培育土壤，落地本土人才培养计划，从本地择优选拔50～100名潜力技术人员与养殖户，量身定制深造培训计划，提升本土人才技术水平与创新能力，为鹅产业可持续发展打造坚实的人才梯队。</w:t>
      </w:r>
    </w:p>
    <w:p w14:paraId="083FBB49">
      <w:pPr>
        <w:ind w:firstLine="640" w:firstLineChars="200"/>
        <w:rPr>
          <w:rFonts w:ascii="仿宋_GB2312" w:eastAsia="仿宋_GB2312"/>
          <w:color w:val="000000"/>
        </w:rPr>
      </w:pPr>
      <w:r>
        <w:rPr>
          <w:rFonts w:hint="eastAsia" w:ascii="仿宋_GB2312" w:eastAsia="仿宋_GB2312"/>
          <w:color w:val="000000"/>
        </w:rPr>
        <w:t>（牵头单位：县工信商务局；责任单位：县人力资源和社会保障局、县农业农村局）</w:t>
      </w:r>
    </w:p>
    <w:p w14:paraId="28D11ED0">
      <w:pPr>
        <w:ind w:firstLine="640" w:firstLineChars="200"/>
        <w:rPr>
          <w:rFonts w:ascii="黑体" w:hAnsi="黑体" w:eastAsia="黑体" w:cs="黑体"/>
          <w:color w:val="000000"/>
          <w:szCs w:val="32"/>
        </w:rPr>
      </w:pPr>
      <w:r>
        <w:rPr>
          <w:rFonts w:hint="eastAsia" w:ascii="黑体" w:hAnsi="黑体" w:eastAsia="黑体" w:cs="黑体"/>
          <w:color w:val="000000"/>
          <w:szCs w:val="32"/>
        </w:rPr>
        <w:t>三、保障措施</w:t>
      </w:r>
    </w:p>
    <w:p w14:paraId="7CB39C60">
      <w:pPr>
        <w:pStyle w:val="21"/>
        <w:ind w:left="0" w:leftChars="0" w:firstLine="643" w:firstLineChars="200"/>
        <w:rPr>
          <w:rFonts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（一）加强组织领导</w:t>
      </w:r>
    </w:p>
    <w:p w14:paraId="4B94429D">
      <w:pPr>
        <w:pStyle w:val="21"/>
        <w:ind w:left="0" w:leftChars="0" w:firstLine="640" w:firstLineChars="200"/>
        <w:rPr>
          <w:rFonts w:ascii="仿宋_GB2312" w:eastAsia="仿宋_GB2312"/>
          <w:color w:val="000000"/>
        </w:rPr>
      </w:pPr>
      <w:r>
        <w:rPr>
          <w:rFonts w:hint="eastAsia" w:ascii="仿宋_GB2312" w:eastAsia="仿宋_GB2312"/>
          <w:color w:val="000000"/>
        </w:rPr>
        <w:t>成立以党委、政府主要领导为双组长，县委联系领导和政府分管领导为副组长，相关部门和乡镇负责人为成员的县级工作领导小组，加强生态鹅产业专班力量，把鹅产业作为县乡村三级书记抓“三农”的一项重要工作，构建</w:t>
      </w:r>
      <w:r>
        <w:rPr>
          <w:rFonts w:hint="eastAsia" w:ascii="仿宋_GB2312" w:eastAsia="仿宋_GB2312"/>
          <w:color w:val="000000"/>
          <w:lang w:eastAsia="zh-CN"/>
        </w:rPr>
        <w:t>党委、政府</w:t>
      </w:r>
      <w:r>
        <w:rPr>
          <w:rFonts w:hint="eastAsia" w:ascii="仿宋_GB2312" w:eastAsia="仿宋_GB2312"/>
          <w:color w:val="000000"/>
        </w:rPr>
        <w:t>主导，企业和群众为主体，“县、乡、村”三级工作体系。</w:t>
      </w:r>
    </w:p>
    <w:p w14:paraId="4F3AC2AB">
      <w:pPr>
        <w:pStyle w:val="21"/>
        <w:ind w:left="0" w:leftChars="0" w:firstLine="640" w:firstLineChars="200"/>
        <w:rPr>
          <w:rFonts w:ascii="仿宋_GB2312" w:eastAsia="仿宋_GB2312"/>
          <w:color w:val="000000"/>
        </w:rPr>
      </w:pPr>
      <w:r>
        <w:rPr>
          <w:rFonts w:hint="eastAsia" w:ascii="仿宋_GB2312" w:eastAsia="仿宋_GB2312"/>
          <w:color w:val="000000"/>
        </w:rPr>
        <w:t>（牵头单位</w:t>
      </w:r>
      <w:r>
        <w:rPr>
          <w:rFonts w:hint="eastAsia" w:ascii="仿宋_GB2312" w:eastAsia="仿宋_GB2312"/>
          <w:color w:val="000000"/>
          <w:lang w:eastAsia="zh-CN"/>
        </w:rPr>
        <w:t>：</w:t>
      </w:r>
      <w:r>
        <w:rPr>
          <w:rFonts w:hint="eastAsia" w:ascii="仿宋_GB2312" w:eastAsia="仿宋_GB2312"/>
          <w:color w:val="000000"/>
        </w:rPr>
        <w:t>县委办公室、县政府办公室</w:t>
      </w:r>
      <w:r>
        <w:rPr>
          <w:rFonts w:hint="eastAsia" w:ascii="仿宋_GB2312" w:eastAsia="仿宋_GB2312"/>
          <w:color w:val="000000"/>
          <w:lang w:eastAsia="zh-CN"/>
        </w:rPr>
        <w:t>；</w:t>
      </w:r>
      <w:r>
        <w:rPr>
          <w:rFonts w:hint="eastAsia" w:ascii="仿宋_GB2312" w:eastAsia="仿宋_GB2312"/>
          <w:color w:val="000000"/>
        </w:rPr>
        <w:t>责任单位</w:t>
      </w:r>
      <w:r>
        <w:rPr>
          <w:rFonts w:hint="eastAsia" w:ascii="仿宋_GB2312" w:eastAsia="仿宋_GB2312"/>
          <w:color w:val="000000"/>
          <w:lang w:eastAsia="zh-CN"/>
        </w:rPr>
        <w:t>：</w:t>
      </w:r>
      <w:r>
        <w:rPr>
          <w:rFonts w:hint="eastAsia" w:ascii="仿宋_GB2312" w:eastAsia="仿宋_GB2312"/>
          <w:color w:val="000000"/>
        </w:rPr>
        <w:t>县直各部门，各乡镇党委和人民政府）</w:t>
      </w:r>
    </w:p>
    <w:p w14:paraId="61B5C5D9">
      <w:pPr>
        <w:ind w:firstLine="643" w:firstLineChars="200"/>
        <w:rPr>
          <w:rFonts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（二）成立专职机构</w:t>
      </w:r>
    </w:p>
    <w:p w14:paraId="1F6F00EB">
      <w:pPr>
        <w:ind w:firstLine="640" w:firstLineChars="200"/>
        <w:rPr>
          <w:rFonts w:ascii="仿宋_GB2312" w:eastAsia="仿宋_GB2312"/>
          <w:color w:val="000000"/>
        </w:rPr>
      </w:pPr>
      <w:r>
        <w:rPr>
          <w:rFonts w:hint="eastAsia" w:ascii="仿宋_GB2312" w:eastAsia="仿宋_GB2312"/>
          <w:color w:val="000000"/>
        </w:rPr>
        <w:t>根据产业发展需求，设立县鹅产业发展工作机构，全面负责全县鹅产业发展工作，具体负责鹅产业规划、项目申报实施、技术培训服务等系列工作，形成</w:t>
      </w:r>
      <w:r>
        <w:rPr>
          <w:rFonts w:hint="eastAsia" w:ascii="仿宋_GB2312" w:eastAsia="仿宋_GB2312"/>
          <w:color w:val="000000"/>
          <w:lang w:eastAsia="zh-CN"/>
        </w:rPr>
        <w:t>县委、县政府</w:t>
      </w:r>
      <w:r>
        <w:rPr>
          <w:rFonts w:hint="eastAsia" w:ascii="仿宋_GB2312" w:eastAsia="仿宋_GB2312"/>
          <w:color w:val="000000"/>
        </w:rPr>
        <w:t>主导，鹅产业发展服务</w:t>
      </w:r>
      <w:r>
        <w:rPr>
          <w:rFonts w:ascii="仿宋_GB2312" w:eastAsia="仿宋_GB2312"/>
          <w:color w:val="000000"/>
        </w:rPr>
        <w:t>中心</w:t>
      </w:r>
      <w:r>
        <w:rPr>
          <w:rFonts w:hint="eastAsia" w:ascii="仿宋_GB2312" w:eastAsia="仿宋_GB2312"/>
          <w:color w:val="000000"/>
        </w:rPr>
        <w:t>主抓的工作格局，实现鹅产业的快速发展。</w:t>
      </w:r>
    </w:p>
    <w:p w14:paraId="3796667B">
      <w:pPr>
        <w:ind w:firstLine="640" w:firstLineChars="200"/>
        <w:rPr>
          <w:rFonts w:ascii="仿宋_GB2312" w:eastAsia="仿宋_GB2312"/>
          <w:color w:val="000000"/>
        </w:rPr>
      </w:pPr>
      <w:r>
        <w:rPr>
          <w:rFonts w:hint="eastAsia" w:ascii="仿宋_GB2312" w:eastAsia="仿宋_GB2312"/>
          <w:color w:val="000000"/>
        </w:rPr>
        <w:t>（牵头单位</w:t>
      </w:r>
      <w:r>
        <w:rPr>
          <w:rFonts w:hint="eastAsia" w:ascii="仿宋_GB2312" w:eastAsia="仿宋_GB2312"/>
          <w:color w:val="000000"/>
          <w:lang w:eastAsia="zh-CN"/>
        </w:rPr>
        <w:t>：</w:t>
      </w:r>
      <w:r>
        <w:rPr>
          <w:rFonts w:hint="eastAsia" w:ascii="仿宋_GB2312" w:eastAsia="仿宋_GB2312"/>
          <w:color w:val="000000"/>
        </w:rPr>
        <w:t>县委组织部；责任单位</w:t>
      </w:r>
      <w:r>
        <w:rPr>
          <w:rFonts w:hint="eastAsia" w:ascii="仿宋_GB2312" w:eastAsia="仿宋_GB2312"/>
          <w:color w:val="000000"/>
          <w:lang w:eastAsia="zh-CN"/>
        </w:rPr>
        <w:t>：</w:t>
      </w:r>
      <w:r>
        <w:rPr>
          <w:rFonts w:hint="eastAsia" w:ascii="仿宋_GB2312" w:eastAsia="仿宋_GB2312"/>
          <w:color w:val="000000"/>
        </w:rPr>
        <w:t>县委编办、县人力资源社会保障局、县农业农村局）</w:t>
      </w:r>
    </w:p>
    <w:p w14:paraId="42B30775">
      <w:pPr>
        <w:pStyle w:val="21"/>
        <w:ind w:left="0" w:leftChars="0" w:firstLine="643" w:firstLineChars="200"/>
        <w:rPr>
          <w:rFonts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（三）建立联席会议制度</w:t>
      </w:r>
    </w:p>
    <w:p w14:paraId="258FEEF7">
      <w:pPr>
        <w:pStyle w:val="21"/>
        <w:ind w:left="0" w:leftChars="0" w:firstLine="640" w:firstLineChars="200"/>
        <w:rPr>
          <w:rFonts w:ascii="仿宋_GB2312" w:eastAsia="仿宋_GB2312"/>
          <w:color w:val="000000"/>
        </w:rPr>
      </w:pPr>
      <w:r>
        <w:rPr>
          <w:rFonts w:hint="eastAsia" w:ascii="仿宋_GB2312" w:eastAsia="仿宋_GB2312"/>
          <w:color w:val="000000"/>
        </w:rPr>
        <w:t>以问题为导向，原则上每月召开一次鹅产业发展联席会议，及时研究产业发展目标、统筹资金资源、解决发展瓶颈、通报工作进度等，形成思想统一、资源集中、执行有力、落地有效的产业发展氛围。对鹅产业发展情况定期通报，成绩突出的先进典型进行表扬，工作滞后、造成不良后果的予以通报批评并责成限期整改。</w:t>
      </w:r>
    </w:p>
    <w:p w14:paraId="1B76EE17">
      <w:pPr>
        <w:pStyle w:val="21"/>
        <w:ind w:left="0" w:leftChars="0" w:firstLine="640" w:firstLineChars="200"/>
        <w:rPr>
          <w:rFonts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rPr>
        <w:t>牵头单位</w:t>
      </w:r>
      <w:r>
        <w:rPr>
          <w:rFonts w:hint="eastAsia" w:ascii="仿宋_GB2312" w:eastAsia="仿宋_GB2312"/>
          <w:color w:val="000000"/>
          <w:lang w:eastAsia="zh-CN"/>
        </w:rPr>
        <w:t>：</w:t>
      </w:r>
      <w:r>
        <w:rPr>
          <w:rFonts w:hint="eastAsia" w:ascii="仿宋_GB2312" w:eastAsia="仿宋_GB2312"/>
          <w:color w:val="000000"/>
        </w:rPr>
        <w:t>县委办公室</w:t>
      </w:r>
      <w:r>
        <w:rPr>
          <w:rFonts w:hint="eastAsia" w:ascii="仿宋_GB2312" w:eastAsia="仿宋_GB2312"/>
          <w:color w:val="000000"/>
          <w:lang w:eastAsia="zh-CN"/>
        </w:rPr>
        <w:t>；</w:t>
      </w:r>
      <w:r>
        <w:rPr>
          <w:rFonts w:hint="eastAsia" w:ascii="仿宋_GB2312" w:eastAsia="仿宋_GB2312"/>
          <w:color w:val="000000"/>
        </w:rPr>
        <w:t>责任单位</w:t>
      </w:r>
      <w:r>
        <w:rPr>
          <w:rFonts w:hint="eastAsia" w:ascii="仿宋_GB2312" w:eastAsia="仿宋_GB2312"/>
          <w:color w:val="000000"/>
          <w:lang w:eastAsia="zh-CN"/>
        </w:rPr>
        <w:t>：</w:t>
      </w:r>
      <w:r>
        <w:rPr>
          <w:rFonts w:hint="eastAsia" w:ascii="仿宋_GB2312" w:eastAsia="仿宋_GB2312"/>
          <w:color w:val="000000"/>
        </w:rPr>
        <w:t>县政府办公室、县直各部门，各乡镇党委和人民政府</w:t>
      </w:r>
      <w:r>
        <w:rPr>
          <w:rFonts w:hint="eastAsia" w:ascii="仿宋_GB2312" w:eastAsia="仿宋_GB2312"/>
          <w:color w:val="000000"/>
          <w:lang w:eastAsia="zh-CN"/>
        </w:rPr>
        <w:t>）</w:t>
      </w:r>
    </w:p>
    <w:p w14:paraId="20589632">
      <w:pPr>
        <w:ind w:firstLine="643" w:firstLineChars="200"/>
        <w:rPr>
          <w:rFonts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（四）加强宣传引导</w:t>
      </w:r>
    </w:p>
    <w:p w14:paraId="1358F8F1">
      <w:pPr>
        <w:ind w:firstLine="640" w:firstLineChars="200"/>
        <w:rPr>
          <w:rFonts w:ascii="仿宋_GB2312" w:eastAsia="仿宋_GB2312"/>
          <w:color w:val="000000"/>
        </w:rPr>
      </w:pPr>
      <w:r>
        <w:rPr>
          <w:rFonts w:hint="eastAsia" w:ascii="仿宋_GB2312" w:eastAsia="仿宋_GB2312"/>
          <w:color w:val="000000"/>
        </w:rPr>
        <w:t>新闻媒体要大力宣传鹅产业高质量发展的重要意义，努力营造良好舆论氛围。推介鹅品牌产品、鹅文化体育产品，宣传鹅全产业链模范人物、先进经验和成功典型，促进鹅全产业链高质量发展。</w:t>
      </w:r>
    </w:p>
    <w:p w14:paraId="0B46877D">
      <w:pPr>
        <w:ind w:firstLine="640" w:firstLineChars="200"/>
        <w:rPr>
          <w:rFonts w:ascii="仿宋_GB2312" w:eastAsia="仿宋_GB2312"/>
          <w:color w:val="000000"/>
        </w:rPr>
      </w:pPr>
      <w:r>
        <w:rPr>
          <w:rFonts w:hint="eastAsia" w:ascii="仿宋_GB2312" w:eastAsia="仿宋_GB2312"/>
          <w:color w:val="000000"/>
        </w:rPr>
        <w:t>（牵头单位</w:t>
      </w:r>
      <w:r>
        <w:rPr>
          <w:rFonts w:hint="eastAsia" w:ascii="仿宋_GB2312" w:eastAsia="仿宋_GB2312"/>
          <w:color w:val="000000"/>
          <w:lang w:eastAsia="zh-CN"/>
        </w:rPr>
        <w:t>：</w:t>
      </w:r>
      <w:r>
        <w:rPr>
          <w:rFonts w:hint="eastAsia" w:ascii="仿宋_GB2312" w:eastAsia="仿宋_GB2312"/>
          <w:color w:val="000000"/>
        </w:rPr>
        <w:t>县委宣传部；责任单位</w:t>
      </w:r>
      <w:r>
        <w:rPr>
          <w:rFonts w:hint="eastAsia" w:ascii="仿宋_GB2312" w:eastAsia="仿宋_GB2312"/>
          <w:color w:val="000000"/>
          <w:lang w:eastAsia="zh-CN"/>
        </w:rPr>
        <w:t>：</w:t>
      </w:r>
      <w:r>
        <w:rPr>
          <w:rFonts w:hint="eastAsia" w:ascii="仿宋_GB2312" w:eastAsia="仿宋_GB2312"/>
          <w:color w:val="000000"/>
        </w:rPr>
        <w:t>县融媒体中心、县直各部门，各乡镇党委和人民政府）</w:t>
      </w:r>
    </w:p>
    <w:p w14:paraId="68E77462">
      <w:pPr>
        <w:pStyle w:val="10"/>
        <w:ind w:left="0" w:leftChars="0" w:firstLine="640" w:firstLineChars="200"/>
        <w:rPr>
          <w:rFonts w:ascii="仿宋_GB2312" w:eastAsia="仿宋_GB2312"/>
          <w:color w:val="000000"/>
        </w:rPr>
      </w:pPr>
    </w:p>
    <w:p w14:paraId="55531F54">
      <w:pPr>
        <w:pStyle w:val="10"/>
        <w:ind w:left="0" w:leftChars="0" w:firstLine="640" w:firstLineChars="200"/>
        <w:rPr>
          <w:rFonts w:ascii="仿宋_GB2312" w:eastAsia="仿宋_GB2312"/>
          <w:color w:val="000000"/>
        </w:rPr>
      </w:pPr>
      <w:r>
        <w:rPr>
          <w:rFonts w:hint="eastAsia" w:ascii="仿宋_GB2312" w:eastAsia="仿宋_GB2312"/>
          <w:color w:val="000000"/>
        </w:rPr>
        <w:t>附件1：锦屏县生态鹅产业发展领导小组名单</w:t>
      </w:r>
    </w:p>
    <w:p w14:paraId="510B6582">
      <w:pPr>
        <w:ind w:firstLine="640" w:firstLineChars="200"/>
        <w:rPr>
          <w:rFonts w:ascii="仿宋_GB2312" w:eastAsia="仿宋_GB2312"/>
          <w:color w:val="000000"/>
        </w:rPr>
      </w:pPr>
      <w:r>
        <w:rPr>
          <w:rFonts w:hint="eastAsia" w:ascii="仿宋_GB2312" w:eastAsia="仿宋_GB2312"/>
          <w:color w:val="000000"/>
        </w:rPr>
        <w:t>附件2：锦屏县鹅产业发展年度推进计划表（2025-2027</w:t>
      </w:r>
      <w:r>
        <w:rPr>
          <w:rFonts w:hint="eastAsia" w:ascii="仿宋_GB2312" w:eastAsia="仿宋_GB2312"/>
          <w:color w:val="000000"/>
          <w:lang w:val="en-US" w:eastAsia="zh-CN"/>
        </w:rPr>
        <w:t>年</w:t>
      </w:r>
      <w:r>
        <w:rPr>
          <w:rFonts w:hint="eastAsia" w:ascii="仿宋_GB2312" w:eastAsia="仿宋_GB2312"/>
          <w:color w:val="000000"/>
        </w:rPr>
        <w:t>）</w:t>
      </w:r>
    </w:p>
    <w:p w14:paraId="2E17D2B6">
      <w:pPr>
        <w:pStyle w:val="2"/>
        <w:ind w:firstLine="640"/>
        <w:rPr>
          <w:rFonts w:ascii="仿宋_GB2312" w:hAnsi="Times New Roman" w:eastAsia="仿宋_GB2312"/>
          <w:color w:val="000000"/>
          <w:szCs w:val="24"/>
        </w:rPr>
      </w:pPr>
      <w:r>
        <w:rPr>
          <w:rFonts w:hint="eastAsia" w:ascii="仿宋_GB2312" w:hAnsi="Times New Roman" w:eastAsia="仿宋_GB2312"/>
          <w:color w:val="000000"/>
          <w:szCs w:val="24"/>
        </w:rPr>
        <w:t>附件3：锦屏县2025年生态鹅产业发展实施方案</w:t>
      </w:r>
    </w:p>
    <w:p w14:paraId="340D9205">
      <w:pPr>
        <w:pStyle w:val="2"/>
        <w:ind w:firstLine="640"/>
        <w:rPr>
          <w:rFonts w:ascii="仿宋" w:hAnsi="仿宋" w:eastAsia="仿宋" w:cs="仿宋"/>
          <w:color w:val="000000"/>
        </w:rPr>
      </w:pPr>
    </w:p>
    <w:p w14:paraId="641733B9">
      <w:pPr>
        <w:rPr>
          <w:rFonts w:ascii="仿宋" w:hAnsi="仿宋" w:eastAsia="仿宋" w:cs="仿宋"/>
          <w:color w:val="000000"/>
          <w:szCs w:val="32"/>
        </w:rPr>
      </w:pPr>
    </w:p>
    <w:p w14:paraId="0C0A5F2E">
      <w:pPr>
        <w:pStyle w:val="2"/>
        <w:ind w:firstLine="640"/>
        <w:rPr>
          <w:rFonts w:ascii="仿宋" w:hAnsi="仿宋" w:eastAsia="仿宋" w:cs="仿宋"/>
          <w:color w:val="000000"/>
        </w:rPr>
      </w:pPr>
    </w:p>
    <w:p w14:paraId="4CAEE260">
      <w:pPr>
        <w:rPr>
          <w:rFonts w:ascii="仿宋" w:hAnsi="仿宋" w:eastAsia="仿宋" w:cs="仿宋"/>
          <w:color w:val="000000"/>
          <w:szCs w:val="32"/>
        </w:rPr>
      </w:pPr>
    </w:p>
    <w:p w14:paraId="0816F374">
      <w:pPr>
        <w:rPr>
          <w:rFonts w:ascii="仿宋" w:hAnsi="仿宋" w:eastAsia="仿宋" w:cs="仿宋"/>
          <w:color w:val="000000"/>
          <w:szCs w:val="32"/>
        </w:rPr>
      </w:pPr>
    </w:p>
    <w:p w14:paraId="768E9FD1">
      <w:pPr>
        <w:rPr>
          <w:rFonts w:ascii="仿宋" w:hAnsi="仿宋" w:eastAsia="仿宋" w:cs="仿宋"/>
          <w:color w:val="000000"/>
          <w:szCs w:val="32"/>
        </w:rPr>
      </w:pPr>
    </w:p>
    <w:p w14:paraId="20F505A7">
      <w:pPr>
        <w:rPr>
          <w:rFonts w:ascii="仿宋" w:hAnsi="仿宋" w:eastAsia="仿宋" w:cs="仿宋"/>
          <w:color w:val="000000"/>
          <w:szCs w:val="32"/>
        </w:rPr>
      </w:pPr>
    </w:p>
    <w:p w14:paraId="2C137568">
      <w:pPr>
        <w:pStyle w:val="2"/>
        <w:ind w:firstLine="640"/>
        <w:rPr>
          <w:rFonts w:eastAsia="仿宋"/>
          <w:color w:val="000000"/>
        </w:rPr>
      </w:pPr>
    </w:p>
    <w:p w14:paraId="6898431D">
      <w:pPr>
        <w:pStyle w:val="4"/>
        <w:ind w:firstLine="210"/>
        <w:rPr>
          <w:color w:val="000000"/>
        </w:rPr>
      </w:pPr>
    </w:p>
    <w:p w14:paraId="515DC9DB">
      <w:pPr>
        <w:rPr>
          <w:rFonts w:ascii="仿宋" w:hAnsi="仿宋" w:eastAsia="仿宋" w:cs="仿宋"/>
          <w:color w:val="000000"/>
          <w:szCs w:val="32"/>
        </w:rPr>
      </w:pPr>
    </w:p>
    <w:p w14:paraId="6CCE516B">
      <w:pPr>
        <w:rPr>
          <w:rFonts w:ascii="仿宋" w:hAnsi="仿宋" w:eastAsia="仿宋" w:cs="仿宋"/>
          <w:color w:val="000000"/>
          <w:szCs w:val="32"/>
        </w:rPr>
      </w:pPr>
    </w:p>
    <w:p w14:paraId="387BD8CF">
      <w:pPr>
        <w:rPr>
          <w:rFonts w:ascii="仿宋" w:hAnsi="仿宋" w:eastAsia="仿宋" w:cs="仿宋"/>
          <w:color w:val="000000"/>
          <w:szCs w:val="32"/>
        </w:rPr>
      </w:pPr>
      <w:r>
        <w:rPr>
          <w:rFonts w:hint="eastAsia" w:ascii="仿宋" w:hAnsi="仿宋" w:eastAsia="仿宋" w:cs="仿宋"/>
          <w:color w:val="000000"/>
          <w:szCs w:val="32"/>
        </w:rPr>
        <w:t>附件1：</w:t>
      </w:r>
    </w:p>
    <w:p w14:paraId="2AB8A38C">
      <w:pPr>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锦屏县生态鹅产业发展领导小组名单</w:t>
      </w:r>
    </w:p>
    <w:p w14:paraId="7198A168">
      <w:pPr>
        <w:ind w:left="420"/>
        <w:rPr>
          <w:rFonts w:ascii="仿宋" w:hAnsi="仿宋" w:eastAsia="仿宋" w:cs="仿宋"/>
          <w:color w:val="000000"/>
          <w:szCs w:val="32"/>
        </w:rPr>
      </w:pPr>
    </w:p>
    <w:p w14:paraId="57167989">
      <w:pPr>
        <w:ind w:firstLine="640" w:firstLineChars="200"/>
        <w:rPr>
          <w:rFonts w:ascii="黑体" w:hAnsi="黑体" w:eastAsia="黑体" w:cs="黑体"/>
          <w:color w:val="000000"/>
          <w:szCs w:val="32"/>
        </w:rPr>
      </w:pPr>
      <w:r>
        <w:rPr>
          <w:rFonts w:hint="eastAsia" w:ascii="黑体" w:hAnsi="黑体" w:eastAsia="黑体" w:cs="黑体"/>
          <w:color w:val="000000"/>
          <w:szCs w:val="32"/>
        </w:rPr>
        <w:t>一、领导小组及工作职责</w:t>
      </w:r>
    </w:p>
    <w:p w14:paraId="66E53CED">
      <w:pPr>
        <w:ind w:firstLine="640" w:firstLineChars="200"/>
        <w:rPr>
          <w:rFonts w:ascii="仿宋_GB2312" w:hAnsi="仿宋" w:eastAsia="仿宋_GB2312" w:cs="仿宋"/>
          <w:color w:val="000000"/>
          <w:szCs w:val="32"/>
        </w:rPr>
      </w:pPr>
      <w:r>
        <w:rPr>
          <w:rFonts w:hint="eastAsia" w:ascii="仿宋_GB2312" w:hAnsi="仿宋" w:eastAsia="仿宋_GB2312" w:cs="仿宋"/>
          <w:color w:val="000000"/>
          <w:szCs w:val="32"/>
        </w:rPr>
        <w:t>组  长：舒  健   县委书记</w:t>
      </w:r>
    </w:p>
    <w:p w14:paraId="23686ED7">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张以东   县人民政府县长</w:t>
      </w:r>
    </w:p>
    <w:p w14:paraId="1649989D">
      <w:pPr>
        <w:adjustRightInd w:val="0"/>
        <w:snapToGrid w:val="0"/>
        <w:ind w:firstLine="280" w:firstLineChars="100"/>
        <w:rPr>
          <w:rFonts w:ascii="仿宋_GB2312" w:hAnsi="仿宋" w:eastAsia="仿宋_GB2312" w:cs="仿宋"/>
          <w:color w:val="000000"/>
          <w:szCs w:val="32"/>
        </w:rPr>
      </w:pPr>
      <w:r>
        <w:rPr>
          <w:rFonts w:hint="eastAsia" w:ascii="仿宋_GB2312" w:hAnsi="仿宋" w:eastAsia="仿宋_GB2312" w:cs="仿宋"/>
          <w:color w:val="000000"/>
          <w:spacing w:val="-20"/>
          <w:szCs w:val="32"/>
        </w:rPr>
        <w:t>常务副组长：</w:t>
      </w:r>
      <w:r>
        <w:rPr>
          <w:rFonts w:hint="eastAsia" w:ascii="仿宋_GB2312" w:hAnsi="仿宋" w:eastAsia="仿宋_GB2312" w:cs="仿宋"/>
          <w:color w:val="000000"/>
          <w:szCs w:val="32"/>
        </w:rPr>
        <w:t xml:space="preserve">王雨露  </w:t>
      </w:r>
      <w:r>
        <w:rPr>
          <w:rFonts w:ascii="仿宋_GB2312" w:hAnsi="仿宋" w:eastAsia="仿宋_GB2312" w:cs="仿宋"/>
          <w:color w:val="000000"/>
          <w:szCs w:val="32"/>
        </w:rPr>
        <w:t xml:space="preserve"> </w:t>
      </w:r>
      <w:r>
        <w:rPr>
          <w:rFonts w:hint="eastAsia" w:ascii="仿宋_GB2312" w:hAnsi="仿宋" w:eastAsia="仿宋_GB2312" w:cs="仿宋"/>
          <w:color w:val="000000"/>
          <w:szCs w:val="32"/>
        </w:rPr>
        <w:t>县政协主席</w:t>
      </w:r>
    </w:p>
    <w:p w14:paraId="17E38589">
      <w:pPr>
        <w:adjustRightInd w:val="0"/>
        <w:snapToGrid w:val="0"/>
        <w:ind w:firstLine="640" w:firstLineChars="200"/>
        <w:rPr>
          <w:rFonts w:ascii="仿宋_GB2312" w:hAnsi="仿宋" w:eastAsia="仿宋_GB2312" w:cs="仿宋"/>
          <w:color w:val="000000"/>
          <w:szCs w:val="32"/>
        </w:rPr>
      </w:pPr>
      <w:r>
        <w:rPr>
          <w:rFonts w:hint="eastAsia" w:ascii="仿宋_GB2312" w:hAnsi="仿宋" w:eastAsia="仿宋_GB2312" w:cs="仿宋"/>
          <w:color w:val="000000"/>
          <w:szCs w:val="32"/>
        </w:rPr>
        <w:t>副组长：任高峰   县人民政府常务副县长</w:t>
      </w:r>
    </w:p>
    <w:p w14:paraId="07C9C587">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徐业霞   县人民政府副县长</w:t>
      </w:r>
    </w:p>
    <w:p w14:paraId="7384C59D">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闵启富   县政协副主席</w:t>
      </w:r>
    </w:p>
    <w:p w14:paraId="747327E6">
      <w:pPr>
        <w:ind w:firstLine="640" w:firstLineChars="200"/>
        <w:rPr>
          <w:rFonts w:ascii="仿宋_GB2312" w:hAnsi="仿宋" w:eastAsia="仿宋_GB2312" w:cs="仿宋"/>
          <w:color w:val="000000"/>
          <w:szCs w:val="32"/>
        </w:rPr>
      </w:pPr>
      <w:r>
        <w:rPr>
          <w:rFonts w:hint="eastAsia" w:ascii="仿宋_GB2312" w:hAnsi="仿宋" w:eastAsia="仿宋_GB2312" w:cs="仿宋"/>
          <w:color w:val="000000"/>
          <w:szCs w:val="32"/>
        </w:rPr>
        <w:t>成  员：林世彬   县政府办公室主任</w:t>
      </w:r>
    </w:p>
    <w:p w14:paraId="3CAB64E6">
      <w:pPr>
        <w:adjustRightInd w:val="0"/>
        <w:snapToGrid w:val="0"/>
        <w:ind w:firstLine="1920" w:firstLineChars="600"/>
        <w:rPr>
          <w:rFonts w:ascii="仿宋_GB2312" w:eastAsia="仿宋_GB2312"/>
          <w:bCs/>
          <w:color w:val="000000"/>
          <w:szCs w:val="32"/>
        </w:rPr>
      </w:pPr>
      <w:r>
        <w:rPr>
          <w:rFonts w:hint="eastAsia" w:ascii="仿宋_GB2312" w:eastAsia="仿宋_GB2312"/>
          <w:bCs/>
          <w:color w:val="000000"/>
          <w:szCs w:val="32"/>
        </w:rPr>
        <w:t>邓泽民   县政协副主席、县发展改革局局长</w:t>
      </w:r>
    </w:p>
    <w:p w14:paraId="6D1597CF">
      <w:pPr>
        <w:adjustRightInd w:val="0"/>
        <w:snapToGrid w:val="0"/>
        <w:ind w:firstLine="1920" w:firstLineChars="600"/>
        <w:rPr>
          <w:rFonts w:ascii="仿宋_GB2312" w:eastAsia="仿宋_GB2312"/>
          <w:bCs/>
          <w:color w:val="000000"/>
          <w:szCs w:val="32"/>
        </w:rPr>
      </w:pPr>
      <w:r>
        <w:rPr>
          <w:rFonts w:hint="eastAsia" w:ascii="仿宋_GB2312" w:eastAsia="仿宋_GB2312"/>
          <w:bCs/>
          <w:color w:val="000000"/>
          <w:szCs w:val="32"/>
        </w:rPr>
        <w:t>罗树发   县委党校常务副校长、县财政局局长</w:t>
      </w:r>
    </w:p>
    <w:p w14:paraId="141A95CD">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郭必杰   县农业农村局局长</w:t>
      </w:r>
    </w:p>
    <w:p w14:paraId="41ABA698">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杨函鑫   县工业信息化和商务局局长</w:t>
      </w:r>
    </w:p>
    <w:p w14:paraId="182F08A2">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 xml:space="preserve">周仕龙   </w:t>
      </w:r>
      <w:r>
        <w:rPr>
          <w:rFonts w:hint="eastAsia" w:ascii="仿宋_GB2312" w:eastAsia="仿宋_GB2312"/>
          <w:bCs/>
          <w:color w:val="000000"/>
          <w:szCs w:val="32"/>
        </w:rPr>
        <w:t>州生态环境局锦屏分局</w:t>
      </w:r>
      <w:r>
        <w:rPr>
          <w:rFonts w:hint="eastAsia" w:ascii="仿宋_GB2312" w:hAnsi="仿宋" w:eastAsia="仿宋_GB2312" w:cs="仿宋"/>
          <w:color w:val="000000"/>
          <w:szCs w:val="32"/>
        </w:rPr>
        <w:t>局长</w:t>
      </w:r>
    </w:p>
    <w:p w14:paraId="529C5EC0">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龙</w:t>
      </w:r>
      <w:r>
        <w:rPr>
          <w:rFonts w:ascii="仿宋_GB2312" w:hAnsi="仿宋" w:eastAsia="仿宋_GB2312" w:cs="仿宋"/>
          <w:color w:val="000000"/>
          <w:szCs w:val="32"/>
        </w:rPr>
        <w:t>立霞</w:t>
      </w:r>
      <w:r>
        <w:rPr>
          <w:rFonts w:hint="eastAsia" w:ascii="仿宋_GB2312" w:hAnsi="仿宋" w:eastAsia="仿宋_GB2312" w:cs="仿宋"/>
          <w:color w:val="000000"/>
          <w:szCs w:val="32"/>
        </w:rPr>
        <w:t xml:space="preserve">   县自然资源局副局长</w:t>
      </w:r>
    </w:p>
    <w:p w14:paraId="54C2E5C0">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吴育瑞   县林业局局长</w:t>
      </w:r>
    </w:p>
    <w:p w14:paraId="420B57C3">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姜家银   县水务局局长</w:t>
      </w:r>
    </w:p>
    <w:p w14:paraId="4D9B9E45">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陆昀炜   县交通运输局局长</w:t>
      </w:r>
    </w:p>
    <w:p w14:paraId="5DDA385E">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朱崇辉   县市场监督管理局局长</w:t>
      </w:r>
    </w:p>
    <w:p w14:paraId="7060F66F">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杨柒莲   县文体广电旅游局局长</w:t>
      </w:r>
    </w:p>
    <w:p w14:paraId="345405B8">
      <w:pPr>
        <w:ind w:firstLine="1920" w:firstLineChars="600"/>
        <w:rPr>
          <w:rFonts w:ascii="仿宋_GB2312" w:hAnsi="仿宋" w:eastAsia="仿宋_GB2312" w:cs="仿宋"/>
          <w:color w:val="000000"/>
          <w:szCs w:val="32"/>
        </w:rPr>
      </w:pPr>
      <w:r>
        <w:rPr>
          <w:rFonts w:hint="eastAsia" w:ascii="仿宋_GB2312" w:hAnsi="仿宋" w:eastAsia="仿宋_GB2312" w:cs="仿宋"/>
          <w:color w:val="000000"/>
          <w:szCs w:val="32"/>
        </w:rPr>
        <w:t>杨正灵   县投资促进局局长</w:t>
      </w:r>
    </w:p>
    <w:p w14:paraId="7A999AD4">
      <w:pPr>
        <w:adjustRightInd w:val="0"/>
        <w:snapToGrid w:val="0"/>
        <w:ind w:firstLine="1920" w:firstLineChars="600"/>
        <w:rPr>
          <w:rFonts w:ascii="仿宋_GB2312" w:eastAsia="仿宋_GB2312"/>
          <w:bCs/>
          <w:color w:val="000000"/>
          <w:szCs w:val="32"/>
        </w:rPr>
      </w:pPr>
      <w:r>
        <w:rPr>
          <w:rFonts w:hint="eastAsia" w:ascii="仿宋_GB2312" w:eastAsia="仿宋_GB2312"/>
          <w:bCs/>
          <w:color w:val="000000"/>
          <w:szCs w:val="32"/>
        </w:rPr>
        <w:t>朱允炎   县农业投资（集团）有限公司总经理</w:t>
      </w:r>
    </w:p>
    <w:p w14:paraId="2CA3A5A4">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龙  梅   县生态鹅专班  </w:t>
      </w:r>
    </w:p>
    <w:p w14:paraId="057D7872">
      <w:pPr>
        <w:adjustRightInd w:val="0"/>
        <w:snapToGrid w:val="0"/>
        <w:ind w:firstLine="1920" w:firstLineChars="600"/>
        <w:rPr>
          <w:rFonts w:ascii="仿宋_GB2312" w:eastAsia="仿宋_GB2312"/>
          <w:bCs/>
          <w:color w:val="000000"/>
          <w:szCs w:val="32"/>
        </w:rPr>
      </w:pPr>
      <w:r>
        <w:rPr>
          <w:rFonts w:hint="eastAsia" w:ascii="仿宋_GB2312" w:eastAsia="仿宋_GB2312"/>
          <w:bCs/>
          <w:color w:val="000000"/>
          <w:szCs w:val="32"/>
        </w:rPr>
        <w:t>各乡镇书记、乡镇长</w:t>
      </w:r>
    </w:p>
    <w:p w14:paraId="401932E2">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领导小组下设办公室在县农业农村局，徐业霞同志兼任办公室主任，闵启富同志兼任办公室常务副主任，郭必杰、龙梅兼任办公室副主任，办公室成员由各成员单位相关科室负责同志担任。负责统筹全县鹅产业发展运行、跟踪调度和协调服务等工作。办公室不刻制印章，因工作需要印发文件，由县农业农村局代章。</w:t>
      </w:r>
    </w:p>
    <w:p w14:paraId="37395D6E">
      <w:pPr>
        <w:pStyle w:val="18"/>
        <w:spacing w:line="578" w:lineRule="exact"/>
        <w:ind w:firstLine="640"/>
        <w:rPr>
          <w:rFonts w:ascii="黑体" w:hAnsi="黑体" w:eastAsia="黑体" w:cs="黑体"/>
          <w:color w:val="000000"/>
          <w:spacing w:val="0"/>
          <w:sz w:val="32"/>
          <w:szCs w:val="32"/>
        </w:rPr>
      </w:pPr>
      <w:r>
        <w:rPr>
          <w:rFonts w:hint="eastAsia" w:ascii="黑体" w:hAnsi="黑体" w:eastAsia="黑体" w:cs="黑体"/>
          <w:color w:val="000000"/>
          <w:spacing w:val="0"/>
          <w:sz w:val="32"/>
          <w:szCs w:val="32"/>
        </w:rPr>
        <w:t>二、主要职责</w:t>
      </w:r>
    </w:p>
    <w:p w14:paraId="7D8FBEEF">
      <w:pPr>
        <w:ind w:firstLine="643" w:firstLineChars="200"/>
        <w:rPr>
          <w:rFonts w:ascii="仿宋_GB2312" w:hAnsi="仿宋_GB2312" w:cs="仿宋_GB2312"/>
          <w:color w:val="000000"/>
          <w:szCs w:val="32"/>
        </w:rPr>
      </w:pPr>
      <w:r>
        <w:rPr>
          <w:rFonts w:hint="eastAsia" w:ascii="楷体" w:hAnsi="楷体" w:eastAsia="楷体" w:cs="楷体"/>
          <w:b/>
          <w:bCs/>
          <w:color w:val="000000"/>
          <w:szCs w:val="32"/>
        </w:rPr>
        <w:t>（一）领导小组主要职责。</w:t>
      </w:r>
      <w:r>
        <w:rPr>
          <w:rFonts w:hint="eastAsia" w:ascii="仿宋_GB2312" w:hAnsi="仿宋_GB2312" w:eastAsia="仿宋_GB2312" w:cs="仿宋_GB2312"/>
          <w:color w:val="000000"/>
          <w:szCs w:val="32"/>
        </w:rPr>
        <w:t>贯彻落实州委、州政府决策部署，</w:t>
      </w:r>
      <w:r>
        <w:rPr>
          <w:rFonts w:ascii="仿宋_GB2312" w:hAnsi="仿宋_GB2312" w:eastAsia="仿宋_GB2312" w:cs="仿宋_GB2312"/>
          <w:color w:val="000000"/>
          <w:szCs w:val="32"/>
        </w:rPr>
        <w:t>统筹推动</w:t>
      </w:r>
      <w:r>
        <w:rPr>
          <w:rFonts w:hint="eastAsia" w:ascii="仿宋_GB2312" w:hAnsi="仿宋_GB2312" w:eastAsia="仿宋_GB2312" w:cs="仿宋_GB2312"/>
          <w:color w:val="000000"/>
          <w:szCs w:val="32"/>
        </w:rPr>
        <w:t>全县鹅</w:t>
      </w:r>
      <w:r>
        <w:rPr>
          <w:rFonts w:ascii="仿宋_GB2312" w:hAnsi="仿宋_GB2312" w:eastAsia="仿宋_GB2312" w:cs="仿宋_GB2312"/>
          <w:color w:val="000000"/>
          <w:szCs w:val="32"/>
        </w:rPr>
        <w:t>产业实现产业化全链条发展，</w:t>
      </w:r>
      <w:r>
        <w:rPr>
          <w:rFonts w:hint="eastAsia" w:ascii="仿宋_GB2312" w:hAnsi="仿宋_GB2312" w:eastAsia="仿宋_GB2312" w:cs="仿宋_GB2312"/>
          <w:color w:val="000000"/>
          <w:szCs w:val="32"/>
        </w:rPr>
        <w:t>牵头</w:t>
      </w:r>
      <w:r>
        <w:rPr>
          <w:rFonts w:ascii="仿宋_GB2312" w:hAnsi="仿宋_GB2312" w:eastAsia="仿宋_GB2312" w:cs="仿宋_GB2312"/>
          <w:color w:val="000000"/>
          <w:szCs w:val="32"/>
        </w:rPr>
        <w:t>研究提出产业发展工作目标、重点任务和政策措施；组织、指导、督促各成员单位履职尽责，</w:t>
      </w:r>
      <w:r>
        <w:rPr>
          <w:rFonts w:hint="eastAsia" w:ascii="仿宋_GB2312" w:hAnsi="仿宋_GB2312" w:eastAsia="仿宋_GB2312" w:cs="仿宋_GB2312"/>
          <w:color w:val="000000"/>
          <w:szCs w:val="32"/>
        </w:rPr>
        <w:t>原则上每周召开1次联席会议，</w:t>
      </w:r>
      <w:r>
        <w:rPr>
          <w:rFonts w:ascii="仿宋_GB2312" w:hAnsi="仿宋_GB2312" w:eastAsia="仿宋_GB2312" w:cs="仿宋_GB2312"/>
          <w:color w:val="000000"/>
          <w:szCs w:val="32"/>
        </w:rPr>
        <w:t>调度工作开展情况，协调解决重大问题；完成</w:t>
      </w:r>
      <w:r>
        <w:rPr>
          <w:rFonts w:hint="eastAsia" w:ascii="仿宋_GB2312" w:hAnsi="仿宋_GB2312" w:eastAsia="仿宋_GB2312" w:cs="仿宋_GB2312"/>
          <w:color w:val="000000"/>
          <w:szCs w:val="32"/>
        </w:rPr>
        <w:t>县委、县政府</w:t>
      </w:r>
      <w:r>
        <w:rPr>
          <w:rFonts w:ascii="仿宋_GB2312" w:hAnsi="仿宋_GB2312" w:eastAsia="仿宋_GB2312" w:cs="仿宋_GB2312"/>
          <w:color w:val="000000"/>
          <w:szCs w:val="32"/>
        </w:rPr>
        <w:t>交办的其他工作</w:t>
      </w:r>
      <w:r>
        <w:rPr>
          <w:rFonts w:hint="eastAsia" w:ascii="仿宋_GB2312" w:hAnsi="仿宋_GB2312" w:eastAsia="仿宋_GB2312" w:cs="仿宋_GB2312"/>
          <w:color w:val="000000"/>
          <w:szCs w:val="32"/>
        </w:rPr>
        <w:t>。</w:t>
      </w:r>
    </w:p>
    <w:p w14:paraId="15C60A6E">
      <w:pPr>
        <w:ind w:firstLine="643" w:firstLineChars="200"/>
        <w:rPr>
          <w:rFonts w:ascii="仿宋_GB2312" w:hAnsi="仿宋_GB2312" w:eastAsia="仿宋_GB2312" w:cs="仿宋_GB2312"/>
          <w:color w:val="000000"/>
          <w:szCs w:val="32"/>
        </w:rPr>
      </w:pPr>
      <w:r>
        <w:rPr>
          <w:rFonts w:hint="eastAsia" w:ascii="楷体" w:hAnsi="楷体" w:eastAsia="楷体" w:cs="楷体"/>
          <w:b/>
          <w:bCs/>
          <w:color w:val="000000"/>
          <w:szCs w:val="32"/>
        </w:rPr>
        <w:t>（二）办公室主要职责。</w:t>
      </w:r>
      <w:r>
        <w:rPr>
          <w:rFonts w:hint="eastAsia" w:ascii="仿宋_GB2312" w:hAnsi="仿宋_GB2312" w:eastAsia="仿宋_GB2312" w:cs="仿宋_GB2312"/>
          <w:color w:val="000000"/>
          <w:szCs w:val="32"/>
        </w:rPr>
        <w:t>承担日常事务。</w:t>
      </w:r>
      <w:r>
        <w:rPr>
          <w:rFonts w:ascii="仿宋_GB2312" w:hAnsi="仿宋_GB2312" w:eastAsia="仿宋_GB2312" w:cs="仿宋_GB2312"/>
          <w:color w:val="000000"/>
          <w:szCs w:val="32"/>
        </w:rPr>
        <w:t>贯彻落实召集人</w:t>
      </w:r>
      <w:r>
        <w:rPr>
          <w:rFonts w:hint="eastAsia" w:ascii="仿宋_GB2312" w:hAnsi="仿宋_GB2312" w:eastAsia="仿宋_GB2312" w:cs="仿宋_GB2312"/>
          <w:color w:val="000000"/>
          <w:szCs w:val="32"/>
        </w:rPr>
        <w:t>和副召集人</w:t>
      </w:r>
      <w:r>
        <w:rPr>
          <w:rFonts w:ascii="仿宋_GB2312" w:hAnsi="仿宋_GB2312" w:eastAsia="仿宋_GB2312" w:cs="仿宋_GB2312"/>
          <w:color w:val="000000"/>
          <w:szCs w:val="32"/>
        </w:rPr>
        <w:t>工作部署，协调推进</w:t>
      </w:r>
      <w:r>
        <w:rPr>
          <w:rFonts w:hint="eastAsia" w:ascii="仿宋_GB2312" w:hAnsi="仿宋_GB2312" w:eastAsia="仿宋_GB2312" w:cs="仿宋_GB2312"/>
          <w:color w:val="000000"/>
          <w:szCs w:val="32"/>
        </w:rPr>
        <w:t>全县鹅</w:t>
      </w:r>
      <w:r>
        <w:rPr>
          <w:rFonts w:ascii="仿宋_GB2312" w:hAnsi="仿宋_GB2312" w:eastAsia="仿宋_GB2312" w:cs="仿宋_GB2312"/>
          <w:color w:val="000000"/>
          <w:szCs w:val="32"/>
        </w:rPr>
        <w:t>产业实现产业化全链条发展重点工作，围绕重点任务开展工作调度，分析研判推进情况和成效；组织开展相关调研、检查、宣传等工作；</w:t>
      </w:r>
      <w:r>
        <w:rPr>
          <w:rFonts w:hint="eastAsia" w:ascii="仿宋_GB2312" w:hAnsi="仿宋_GB2312" w:eastAsia="仿宋_GB2312" w:cs="仿宋_GB2312"/>
          <w:color w:val="000000"/>
          <w:szCs w:val="32"/>
        </w:rPr>
        <w:t>指导制定鹅</w:t>
      </w:r>
      <w:r>
        <w:rPr>
          <w:rFonts w:ascii="仿宋_GB2312" w:hAnsi="仿宋_GB2312" w:eastAsia="仿宋_GB2312" w:cs="仿宋_GB2312"/>
          <w:color w:val="000000"/>
          <w:szCs w:val="32"/>
        </w:rPr>
        <w:t>产业相关文件、计划方案、总结报告等文稿；统筹负责</w:t>
      </w:r>
      <w:r>
        <w:rPr>
          <w:rFonts w:hint="eastAsia" w:ascii="仿宋_GB2312" w:hAnsi="仿宋_GB2312" w:eastAsia="仿宋_GB2312" w:cs="仿宋_GB2312"/>
          <w:color w:val="000000"/>
          <w:szCs w:val="32"/>
        </w:rPr>
        <w:t>鹅</w:t>
      </w:r>
      <w:r>
        <w:rPr>
          <w:rFonts w:ascii="仿宋_GB2312" w:hAnsi="仿宋_GB2312" w:eastAsia="仿宋_GB2312" w:cs="仿宋_GB2312"/>
          <w:color w:val="000000"/>
          <w:szCs w:val="32"/>
        </w:rPr>
        <w:t>产业综合会务等；完成召集人</w:t>
      </w:r>
      <w:r>
        <w:rPr>
          <w:rFonts w:hint="eastAsia" w:ascii="仿宋_GB2312" w:hAnsi="仿宋_GB2312" w:eastAsia="仿宋_GB2312" w:cs="仿宋_GB2312"/>
          <w:color w:val="000000"/>
          <w:szCs w:val="32"/>
        </w:rPr>
        <w:t>和副召集人</w:t>
      </w:r>
      <w:r>
        <w:rPr>
          <w:rFonts w:ascii="仿宋_GB2312" w:hAnsi="仿宋_GB2312" w:eastAsia="仿宋_GB2312" w:cs="仿宋_GB2312"/>
          <w:color w:val="000000"/>
          <w:szCs w:val="32"/>
        </w:rPr>
        <w:t>交办的其他工作。</w:t>
      </w:r>
    </w:p>
    <w:p w14:paraId="0714FD85">
      <w:pPr>
        <w:pStyle w:val="18"/>
        <w:spacing w:line="578" w:lineRule="exact"/>
        <w:ind w:firstLine="643"/>
        <w:jc w:val="left"/>
        <w:rPr>
          <w:rFonts w:ascii="仿宋_GB2312" w:hAnsi="仿宋_GB2312" w:eastAsia="仿宋_GB2312" w:cs="仿宋_GB2312"/>
          <w:color w:val="000000"/>
          <w:spacing w:val="0"/>
          <w:kern w:val="2"/>
          <w:sz w:val="32"/>
          <w:szCs w:val="32"/>
        </w:rPr>
      </w:pPr>
      <w:r>
        <w:rPr>
          <w:rFonts w:hint="eastAsia" w:ascii="楷体" w:hAnsi="楷体" w:eastAsia="楷体" w:cs="楷体"/>
          <w:b/>
          <w:bCs/>
          <w:color w:val="000000"/>
          <w:spacing w:val="0"/>
          <w:kern w:val="2"/>
          <w:sz w:val="32"/>
          <w:szCs w:val="32"/>
        </w:rPr>
        <w:t>（三）成员单位主要职责。</w:t>
      </w:r>
      <w:r>
        <w:rPr>
          <w:rFonts w:ascii="仿宋_GB2312" w:hAnsi="仿宋_GB2312" w:eastAsia="仿宋_GB2312" w:cs="仿宋_GB2312"/>
          <w:color w:val="000000"/>
          <w:spacing w:val="0"/>
          <w:kern w:val="2"/>
          <w:sz w:val="32"/>
          <w:szCs w:val="32"/>
        </w:rPr>
        <w:t>贯彻落实</w:t>
      </w:r>
      <w:r>
        <w:rPr>
          <w:rFonts w:hint="eastAsia" w:ascii="仿宋_GB2312" w:hAnsi="仿宋_GB2312" w:eastAsia="仿宋_GB2312" w:cs="仿宋_GB2312"/>
          <w:color w:val="000000"/>
          <w:spacing w:val="0"/>
          <w:kern w:val="2"/>
          <w:sz w:val="32"/>
          <w:szCs w:val="32"/>
        </w:rPr>
        <w:t>县</w:t>
      </w:r>
      <w:r>
        <w:rPr>
          <w:rFonts w:ascii="仿宋_GB2312" w:hAnsi="仿宋_GB2312" w:eastAsia="仿宋_GB2312" w:cs="仿宋_GB2312"/>
          <w:color w:val="000000"/>
          <w:spacing w:val="0"/>
          <w:kern w:val="2"/>
          <w:sz w:val="32"/>
          <w:szCs w:val="32"/>
        </w:rPr>
        <w:t>委、</w:t>
      </w:r>
      <w:r>
        <w:rPr>
          <w:rFonts w:hint="eastAsia" w:ascii="仿宋_GB2312" w:hAnsi="仿宋_GB2312" w:eastAsia="仿宋_GB2312" w:cs="仿宋_GB2312"/>
          <w:color w:val="000000"/>
          <w:spacing w:val="0"/>
          <w:kern w:val="2"/>
          <w:sz w:val="32"/>
          <w:szCs w:val="32"/>
        </w:rPr>
        <w:t>县</w:t>
      </w:r>
      <w:r>
        <w:rPr>
          <w:rFonts w:ascii="仿宋_GB2312" w:hAnsi="仿宋_GB2312" w:eastAsia="仿宋_GB2312" w:cs="仿宋_GB2312"/>
          <w:color w:val="000000"/>
          <w:spacing w:val="0"/>
          <w:kern w:val="2"/>
          <w:sz w:val="32"/>
          <w:szCs w:val="32"/>
        </w:rPr>
        <w:t>政府关于</w:t>
      </w:r>
      <w:r>
        <w:rPr>
          <w:rFonts w:hint="eastAsia" w:ascii="仿宋_GB2312" w:hAnsi="仿宋_GB2312" w:eastAsia="仿宋_GB2312" w:cs="仿宋_GB2312"/>
          <w:color w:val="000000"/>
          <w:spacing w:val="0"/>
          <w:kern w:val="2"/>
          <w:sz w:val="32"/>
          <w:szCs w:val="32"/>
        </w:rPr>
        <w:t>推进全县鹅</w:t>
      </w:r>
      <w:r>
        <w:rPr>
          <w:rFonts w:ascii="仿宋_GB2312" w:hAnsi="仿宋_GB2312" w:eastAsia="仿宋_GB2312" w:cs="仿宋_GB2312"/>
          <w:color w:val="000000"/>
          <w:spacing w:val="0"/>
          <w:kern w:val="2"/>
          <w:sz w:val="32"/>
          <w:szCs w:val="32"/>
        </w:rPr>
        <w:t>产业发展的决策部署，</w:t>
      </w:r>
      <w:r>
        <w:rPr>
          <w:rFonts w:hint="eastAsia" w:ascii="仿宋_GB2312" w:hAnsi="仿宋_GB2312" w:eastAsia="仿宋_GB2312" w:cs="仿宋_GB2312"/>
          <w:color w:val="000000"/>
          <w:spacing w:val="0"/>
          <w:kern w:val="2"/>
          <w:sz w:val="32"/>
          <w:szCs w:val="32"/>
        </w:rPr>
        <w:t>县直成员单位根据职能职责抓好工作协调、项目申报、资金支持、招商引资、技术服务、体系建设、品牌培育、市场开拓等事项的落实。各乡（镇）人民政府切实履行产业发展主体责任，制定本辖区实施方案，比照县级做法成立工作机制；如期完成产业发展目标任务。</w:t>
      </w:r>
    </w:p>
    <w:p w14:paraId="543AD60C">
      <w:pPr>
        <w:pStyle w:val="18"/>
        <w:spacing w:line="578" w:lineRule="exact"/>
        <w:ind w:firstLine="640"/>
        <w:rPr>
          <w:rFonts w:ascii="黑体" w:hAnsi="黑体" w:eastAsia="黑体" w:cs="黑体"/>
          <w:color w:val="000000"/>
          <w:spacing w:val="0"/>
          <w:sz w:val="32"/>
          <w:szCs w:val="32"/>
        </w:rPr>
      </w:pPr>
      <w:r>
        <w:rPr>
          <w:rFonts w:hint="eastAsia" w:ascii="黑体" w:hAnsi="黑体" w:eastAsia="黑体" w:cs="黑体"/>
          <w:color w:val="000000"/>
          <w:spacing w:val="0"/>
          <w:sz w:val="32"/>
          <w:szCs w:val="32"/>
        </w:rPr>
        <w:t>三、工作制度</w:t>
      </w:r>
    </w:p>
    <w:p w14:paraId="1278E28D">
      <w:pPr>
        <w:pStyle w:val="21"/>
        <w:ind w:left="0" w:leftChars="0" w:firstLine="643" w:firstLineChars="200"/>
        <w:rPr>
          <w:rFonts w:ascii="仿宋_GB2312" w:hAnsi="仿宋_GB2312" w:eastAsia="仿宋_GB2312" w:cs="仿宋_GB2312"/>
          <w:color w:val="000000"/>
          <w:szCs w:val="32"/>
        </w:rPr>
      </w:pPr>
      <w:r>
        <w:rPr>
          <w:rFonts w:hint="eastAsia" w:eastAsia="楷体_GB2312" w:cs="楷体_GB2312"/>
          <w:b/>
          <w:bCs/>
          <w:color w:val="000000"/>
          <w:szCs w:val="32"/>
        </w:rPr>
        <w:t>（一）会议制度。</w:t>
      </w:r>
      <w:r>
        <w:rPr>
          <w:rFonts w:hint="eastAsia" w:ascii="仿宋_GB2312" w:hAnsi="仿宋_GB2312" w:eastAsia="仿宋_GB2312" w:cs="仿宋_GB2312"/>
          <w:color w:val="000000"/>
          <w:szCs w:val="32"/>
        </w:rPr>
        <w:t>根据工作需要，定期或不定期召开会议，由领导小组组长或副组长组织召开专题会议，听取鹅产业推进情况，分析研究重要行动实施、重点项目建设和重大投资落地的阶段性制约因素，协调解决突出矛盾和问题，加快推动鹅产业实现高质量发展。</w:t>
      </w:r>
    </w:p>
    <w:p w14:paraId="1706B16A">
      <w:pPr>
        <w:pStyle w:val="21"/>
        <w:ind w:left="0" w:leftChars="0" w:firstLine="643" w:firstLineChars="200"/>
        <w:rPr>
          <w:rFonts w:ascii="仿宋_GB2312" w:hAnsi="仿宋_GB2312" w:cs="仿宋_GB2312"/>
          <w:color w:val="000000"/>
          <w:szCs w:val="32"/>
        </w:rPr>
      </w:pPr>
      <w:r>
        <w:rPr>
          <w:rFonts w:hint="eastAsia" w:eastAsia="楷体_GB2312" w:cs="楷体_GB2312"/>
          <w:b/>
          <w:bCs/>
          <w:color w:val="000000"/>
          <w:szCs w:val="32"/>
        </w:rPr>
        <w:t>（二）调度制度。</w:t>
      </w:r>
      <w:r>
        <w:rPr>
          <w:rFonts w:hint="eastAsia" w:ascii="仿宋_GB2312" w:hAnsi="仿宋_GB2312" w:eastAsia="仿宋_GB2312" w:cs="仿宋_GB2312"/>
          <w:color w:val="000000"/>
          <w:szCs w:val="32"/>
        </w:rPr>
        <w:t>按照“月调度、季通报”的方式，压紧压实各方责任，按月调度重要工程实施情况、重点项目建设进展、重大投资完成情况，定期向县委、县政府报送工作推进情况，确保各项目标任务按时完成。</w:t>
      </w:r>
    </w:p>
    <w:p w14:paraId="0AA180AE">
      <w:pPr>
        <w:pStyle w:val="21"/>
        <w:ind w:left="0" w:leftChars="0" w:firstLine="643" w:firstLineChars="200"/>
        <w:rPr>
          <w:rFonts w:ascii="仿宋_GB2312" w:hAnsi="仿宋_GB2312" w:cs="仿宋_GB2312"/>
          <w:color w:val="000000"/>
          <w:szCs w:val="32"/>
        </w:rPr>
      </w:pPr>
      <w:r>
        <w:rPr>
          <w:rFonts w:hint="eastAsia" w:eastAsia="楷体_GB2312" w:cs="楷体_GB2312"/>
          <w:b/>
          <w:bCs/>
          <w:color w:val="000000"/>
          <w:szCs w:val="32"/>
        </w:rPr>
        <w:t>（三）推进制度。</w:t>
      </w:r>
      <w:r>
        <w:rPr>
          <w:rFonts w:hint="eastAsia" w:ascii="仿宋_GB2312" w:hAnsi="仿宋_GB2312" w:eastAsia="仿宋_GB2312" w:cs="仿宋_GB2312"/>
          <w:color w:val="000000"/>
          <w:szCs w:val="32"/>
        </w:rPr>
        <w:t>实行项目化、清单化推进制度，由领导小组办公室制定年度重点任务、重点项目“五定”工作表，压实责任，倒排工期，加快形成上下贯通、部门协作的工作格局。</w:t>
      </w:r>
    </w:p>
    <w:p w14:paraId="2AAA70BF">
      <w:pPr>
        <w:pStyle w:val="21"/>
        <w:ind w:left="0" w:leftChars="0" w:firstLine="643" w:firstLineChars="200"/>
        <w:rPr>
          <w:rFonts w:ascii="仿宋_GB2312" w:hAnsi="仿宋_GB2312" w:eastAsia="仿宋_GB2312" w:cs="仿宋_GB2312"/>
          <w:color w:val="000000"/>
          <w:szCs w:val="32"/>
        </w:rPr>
        <w:sectPr>
          <w:footerReference r:id="rId5" w:type="default"/>
          <w:pgSz w:w="11906" w:h="16838"/>
          <w:pgMar w:top="2098" w:right="1474" w:bottom="1985" w:left="1588" w:header="851" w:footer="992" w:gutter="0"/>
          <w:cols w:space="720" w:num="1"/>
          <w:docGrid w:type="lines" w:linePitch="312" w:charSpace="0"/>
        </w:sectPr>
      </w:pPr>
      <w:r>
        <w:rPr>
          <w:rFonts w:hint="eastAsia" w:eastAsia="楷体_GB2312" w:cs="楷体_GB2312"/>
          <w:b/>
          <w:bCs/>
          <w:color w:val="000000"/>
          <w:szCs w:val="32"/>
        </w:rPr>
        <w:t>（四）通报制度。</w:t>
      </w:r>
      <w:r>
        <w:rPr>
          <w:rFonts w:hint="eastAsia" w:ascii="仿宋_GB2312" w:hAnsi="仿宋_GB2312" w:eastAsia="仿宋_GB2312" w:cs="仿宋_GB2312"/>
          <w:color w:val="000000"/>
          <w:szCs w:val="32"/>
        </w:rPr>
        <w:t>对鹅产业发展情况定期通报，成绩突出的先进典型进行表扬，工作滞后、造成不良后果的予以通报批评并责成限期整改。</w:t>
      </w:r>
    </w:p>
    <w:p w14:paraId="10D49C10">
      <w:pPr>
        <w:pStyle w:val="4"/>
        <w:spacing w:after="0" w:line="320" w:lineRule="exact"/>
        <w:ind w:firstLine="0" w:firstLineChars="0"/>
        <w:rPr>
          <w:rFonts w:ascii="仿宋_GB2312" w:eastAsia="仿宋_GB2312"/>
          <w:color w:val="000000"/>
          <w:sz w:val="32"/>
        </w:rPr>
      </w:pPr>
      <w:r>
        <w:rPr>
          <w:rFonts w:hint="eastAsia" w:ascii="仿宋_GB2312" w:eastAsia="仿宋_GB2312"/>
          <w:color w:val="000000"/>
          <w:sz w:val="32"/>
        </w:rPr>
        <w:t>附件2：</w:t>
      </w:r>
    </w:p>
    <w:tbl>
      <w:tblPr>
        <w:tblStyle w:val="14"/>
        <w:tblW w:w="0" w:type="auto"/>
        <w:tblInd w:w="0" w:type="dxa"/>
        <w:tblLayout w:type="fixed"/>
        <w:tblCellMar>
          <w:top w:w="0" w:type="dxa"/>
          <w:left w:w="0" w:type="dxa"/>
          <w:bottom w:w="0" w:type="dxa"/>
          <w:right w:w="0" w:type="dxa"/>
        </w:tblCellMar>
      </w:tblPr>
      <w:tblGrid>
        <w:gridCol w:w="1049"/>
        <w:gridCol w:w="820"/>
        <w:gridCol w:w="820"/>
        <w:gridCol w:w="820"/>
        <w:gridCol w:w="820"/>
        <w:gridCol w:w="725"/>
        <w:gridCol w:w="820"/>
        <w:gridCol w:w="820"/>
        <w:gridCol w:w="820"/>
        <w:gridCol w:w="820"/>
        <w:gridCol w:w="820"/>
        <w:gridCol w:w="820"/>
        <w:gridCol w:w="820"/>
        <w:gridCol w:w="820"/>
        <w:gridCol w:w="823"/>
      </w:tblGrid>
      <w:tr w14:paraId="1BB257BC">
        <w:tblPrEx>
          <w:tblCellMar>
            <w:top w:w="0" w:type="dxa"/>
            <w:left w:w="0" w:type="dxa"/>
            <w:bottom w:w="0" w:type="dxa"/>
            <w:right w:w="0" w:type="dxa"/>
          </w:tblCellMar>
        </w:tblPrEx>
        <w:trPr>
          <w:trHeight w:val="20" w:hRule="atLeast"/>
        </w:trPr>
        <w:tc>
          <w:tcPr>
            <w:tcW w:w="12437" w:type="dxa"/>
            <w:gridSpan w:val="15"/>
            <w:tcBorders>
              <w:top w:val="nil"/>
              <w:left w:val="nil"/>
              <w:bottom w:val="nil"/>
              <w:right w:val="nil"/>
            </w:tcBorders>
            <w:tcMar>
              <w:top w:w="15" w:type="dxa"/>
              <w:left w:w="15" w:type="dxa"/>
              <w:right w:w="15" w:type="dxa"/>
            </w:tcMar>
            <w:vAlign w:val="center"/>
          </w:tcPr>
          <w:p w14:paraId="6E0AFD30">
            <w:pPr>
              <w:spacing w:line="500" w:lineRule="exact"/>
              <w:jc w:val="center"/>
              <w:textAlignment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40"/>
                <w:szCs w:val="40"/>
                <w:lang w:bidi="ar"/>
              </w:rPr>
              <w:t>锦屏县鹅产业发展年度推进表（2025-2027</w:t>
            </w:r>
            <w:r>
              <w:rPr>
                <w:rFonts w:hint="eastAsia" w:ascii="方正小标宋简体" w:hAnsi="方正小标宋简体" w:eastAsia="方正小标宋简体" w:cs="方正小标宋简体"/>
                <w:b/>
                <w:color w:val="000000"/>
                <w:kern w:val="0"/>
                <w:sz w:val="40"/>
                <w:szCs w:val="40"/>
                <w:lang w:val="en-US" w:eastAsia="zh-CN" w:bidi="ar"/>
              </w:rPr>
              <w:t>年</w:t>
            </w:r>
            <w:r>
              <w:rPr>
                <w:rFonts w:hint="eastAsia" w:ascii="方正小标宋简体" w:hAnsi="方正小标宋简体" w:eastAsia="方正小标宋简体" w:cs="方正小标宋简体"/>
                <w:b/>
                <w:color w:val="000000"/>
                <w:kern w:val="0"/>
                <w:sz w:val="40"/>
                <w:szCs w:val="40"/>
                <w:lang w:bidi="ar"/>
              </w:rPr>
              <w:t>）</w:t>
            </w:r>
          </w:p>
        </w:tc>
      </w:tr>
      <w:tr w14:paraId="550F079F">
        <w:tblPrEx>
          <w:tblCellMar>
            <w:top w:w="0" w:type="dxa"/>
            <w:left w:w="0" w:type="dxa"/>
            <w:bottom w:w="0" w:type="dxa"/>
            <w:right w:w="0" w:type="dxa"/>
          </w:tblCellMar>
        </w:tblPrEx>
        <w:trPr>
          <w:trHeight w:val="20" w:hRule="atLeast"/>
        </w:trPr>
        <w:tc>
          <w:tcPr>
            <w:tcW w:w="12437" w:type="dxa"/>
            <w:gridSpan w:val="15"/>
            <w:tcBorders>
              <w:top w:val="nil"/>
              <w:left w:val="nil"/>
              <w:bottom w:val="nil"/>
              <w:right w:val="nil"/>
            </w:tcBorders>
            <w:tcMar>
              <w:top w:w="15" w:type="dxa"/>
              <w:left w:w="15" w:type="dxa"/>
              <w:right w:w="15" w:type="dxa"/>
            </w:tcMar>
            <w:vAlign w:val="center"/>
          </w:tcPr>
          <w:p w14:paraId="6AF92057">
            <w:pPr>
              <w:spacing w:line="320" w:lineRule="exact"/>
              <w:jc w:val="right"/>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lang w:bidi="ar"/>
              </w:rPr>
              <w:t xml:space="preserve">              单位：万羽、个</w:t>
            </w:r>
          </w:p>
        </w:tc>
      </w:tr>
      <w:tr w14:paraId="01DF2075">
        <w:tblPrEx>
          <w:tblCellMar>
            <w:top w:w="0" w:type="dxa"/>
            <w:left w:w="0" w:type="dxa"/>
            <w:bottom w:w="0" w:type="dxa"/>
            <w:right w:w="0" w:type="dxa"/>
          </w:tblCellMar>
        </w:tblPrEx>
        <w:trPr>
          <w:trHeight w:val="336" w:hRule="atLeast"/>
        </w:trPr>
        <w:tc>
          <w:tcPr>
            <w:tcW w:w="1049" w:type="dxa"/>
            <w:vMerge w:val="restart"/>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14:paraId="748E74FE">
            <w:pPr>
              <w:spacing w:line="3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养殖场点及乡镇名称</w:t>
            </w:r>
          </w:p>
        </w:tc>
        <w:tc>
          <w:tcPr>
            <w:tcW w:w="4005" w:type="dxa"/>
            <w:gridSpan w:val="5"/>
            <w:tcBorders>
              <w:top w:val="single" w:color="auto" w:sz="4" w:space="0"/>
              <w:left w:val="nil"/>
              <w:bottom w:val="single" w:color="auto" w:sz="4" w:space="0"/>
              <w:right w:val="single" w:color="auto" w:sz="4" w:space="0"/>
            </w:tcBorders>
            <w:tcMar>
              <w:top w:w="15" w:type="dxa"/>
              <w:left w:w="15" w:type="dxa"/>
              <w:right w:w="15" w:type="dxa"/>
            </w:tcMar>
            <w:vAlign w:val="center"/>
          </w:tcPr>
          <w:p w14:paraId="7FAF59EC">
            <w:pPr>
              <w:spacing w:line="300" w:lineRule="exact"/>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2025年</w:t>
            </w:r>
          </w:p>
        </w:tc>
        <w:tc>
          <w:tcPr>
            <w:tcW w:w="3280" w:type="dxa"/>
            <w:gridSpan w:val="4"/>
            <w:tcBorders>
              <w:top w:val="single" w:color="auto" w:sz="4" w:space="0"/>
              <w:left w:val="nil"/>
              <w:bottom w:val="single" w:color="auto" w:sz="4" w:space="0"/>
              <w:right w:val="single" w:color="000000" w:sz="4" w:space="0"/>
            </w:tcBorders>
            <w:tcMar>
              <w:top w:w="15" w:type="dxa"/>
              <w:left w:w="15" w:type="dxa"/>
              <w:right w:w="15" w:type="dxa"/>
            </w:tcMar>
            <w:vAlign w:val="center"/>
          </w:tcPr>
          <w:p w14:paraId="513712B6">
            <w:pPr>
              <w:spacing w:line="300" w:lineRule="exact"/>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2026年</w:t>
            </w:r>
          </w:p>
        </w:tc>
        <w:tc>
          <w:tcPr>
            <w:tcW w:w="3280" w:type="dxa"/>
            <w:gridSpan w:val="4"/>
            <w:tcBorders>
              <w:top w:val="single" w:color="auto" w:sz="4" w:space="0"/>
              <w:left w:val="nil"/>
              <w:bottom w:val="single" w:color="auto" w:sz="4" w:space="0"/>
              <w:right w:val="single" w:color="000000" w:sz="4" w:space="0"/>
            </w:tcBorders>
            <w:tcMar>
              <w:top w:w="15" w:type="dxa"/>
              <w:left w:w="15" w:type="dxa"/>
              <w:right w:w="15" w:type="dxa"/>
            </w:tcMar>
            <w:vAlign w:val="center"/>
          </w:tcPr>
          <w:p w14:paraId="2360BEEB">
            <w:pPr>
              <w:spacing w:line="300" w:lineRule="exact"/>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2027年</w:t>
            </w:r>
          </w:p>
        </w:tc>
        <w:tc>
          <w:tcPr>
            <w:tcW w:w="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BE8F43">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备注</w:t>
            </w:r>
          </w:p>
        </w:tc>
      </w:tr>
      <w:tr w14:paraId="24DD9B5C">
        <w:tblPrEx>
          <w:tblCellMar>
            <w:top w:w="0" w:type="dxa"/>
            <w:left w:w="0" w:type="dxa"/>
            <w:bottom w:w="0" w:type="dxa"/>
            <w:right w:w="0" w:type="dxa"/>
          </w:tblCellMar>
        </w:tblPrEx>
        <w:trPr>
          <w:trHeight w:val="675" w:hRule="atLeast"/>
        </w:trPr>
        <w:tc>
          <w:tcPr>
            <w:tcW w:w="1049"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14:paraId="16170421">
            <w:pPr>
              <w:spacing w:line="300" w:lineRule="exact"/>
              <w:jc w:val="center"/>
              <w:rPr>
                <w:rFonts w:ascii="宋体" w:hAnsi="宋体" w:cs="宋体"/>
                <w:color w:val="000000" w:themeColor="text1"/>
                <w:sz w:val="22"/>
                <w:szCs w:val="22"/>
                <w14:textFill>
                  <w14:solidFill>
                    <w14:schemeClr w14:val="tx1"/>
                  </w14:solidFill>
                </w14:textFill>
              </w:rPr>
            </w:pP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09A2463">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单批次 养殖</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23C168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年养殖</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4AE7270">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年出栏</w:t>
            </w:r>
          </w:p>
        </w:tc>
        <w:tc>
          <w:tcPr>
            <w:tcW w:w="820" w:type="dxa"/>
            <w:tcBorders>
              <w:top w:val="nil"/>
              <w:left w:val="nil"/>
              <w:bottom w:val="nil"/>
              <w:right w:val="single" w:color="auto" w:sz="4" w:space="0"/>
            </w:tcBorders>
            <w:tcMar>
              <w:top w:w="15" w:type="dxa"/>
              <w:left w:w="15" w:type="dxa"/>
              <w:right w:w="15" w:type="dxa"/>
            </w:tcMar>
            <w:vAlign w:val="center"/>
          </w:tcPr>
          <w:p w14:paraId="3D650CC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规模养殖单元</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CC5878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扩繁场</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B8156EF">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单批次 养殖</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35E91A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年养殖</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A8C440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年出栏</w:t>
            </w:r>
          </w:p>
        </w:tc>
        <w:tc>
          <w:tcPr>
            <w:tcW w:w="820" w:type="dxa"/>
            <w:tcBorders>
              <w:top w:val="nil"/>
              <w:left w:val="nil"/>
              <w:bottom w:val="nil"/>
              <w:right w:val="single" w:color="auto" w:sz="4" w:space="0"/>
            </w:tcBorders>
            <w:tcMar>
              <w:top w:w="15" w:type="dxa"/>
              <w:left w:w="15" w:type="dxa"/>
              <w:right w:w="15" w:type="dxa"/>
            </w:tcMar>
            <w:vAlign w:val="center"/>
          </w:tcPr>
          <w:p w14:paraId="4438D22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规模养殖单元</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3FD0F2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单批次  养殖</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2B0340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年养殖</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3216585">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年出栏</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95F599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规模养殖单元</w:t>
            </w:r>
          </w:p>
        </w:tc>
        <w:tc>
          <w:tcPr>
            <w:tcW w:w="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3254B7">
            <w:pPr>
              <w:spacing w:line="300" w:lineRule="exact"/>
              <w:jc w:val="center"/>
              <w:rPr>
                <w:rFonts w:ascii="宋体" w:hAnsi="宋体" w:cs="宋体"/>
                <w:color w:val="000000" w:themeColor="text1"/>
                <w:sz w:val="20"/>
                <w:szCs w:val="20"/>
                <w14:textFill>
                  <w14:solidFill>
                    <w14:schemeClr w14:val="tx1"/>
                  </w14:solidFill>
                </w14:textFill>
              </w:rPr>
            </w:pPr>
          </w:p>
        </w:tc>
      </w:tr>
      <w:tr w14:paraId="2D8F5819">
        <w:tblPrEx>
          <w:tblCellMar>
            <w:top w:w="0" w:type="dxa"/>
            <w:left w:w="0" w:type="dxa"/>
            <w:bottom w:w="0" w:type="dxa"/>
            <w:right w:w="0" w:type="dxa"/>
          </w:tblCellMar>
        </w:tblPrEx>
        <w:trPr>
          <w:trHeight w:val="45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8359820">
            <w:pPr>
              <w:spacing w:line="30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2CD20A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122.0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4477AF0">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388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7894BD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330 </w:t>
            </w:r>
          </w:p>
        </w:tc>
        <w:tc>
          <w:tcPr>
            <w:tcW w:w="8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0EE69F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195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4E29B44B">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DD1EF1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r>
              <w:rPr>
                <w:rFonts w:ascii="宋体" w:hAnsi="宋体" w:cs="宋体"/>
                <w:color w:val="000000" w:themeColor="text1"/>
                <w:kern w:val="0"/>
                <w:sz w:val="20"/>
                <w:szCs w:val="20"/>
                <w:lang w:bidi="ar"/>
                <w14:textFill>
                  <w14:solidFill>
                    <w14:schemeClr w14:val="tx1"/>
                  </w14:solidFill>
                </w14:textFill>
              </w:rPr>
              <w:t>7</w:t>
            </w:r>
            <w:r>
              <w:rPr>
                <w:rFonts w:hint="eastAsia" w:ascii="宋体" w:hAnsi="宋体" w:cs="宋体"/>
                <w:color w:val="000000" w:themeColor="text1"/>
                <w:kern w:val="0"/>
                <w:sz w:val="20"/>
                <w:szCs w:val="20"/>
                <w:lang w:bidi="ar"/>
                <w14:textFill>
                  <w14:solidFill>
                    <w14:schemeClr w14:val="tx1"/>
                  </w14:solidFill>
                </w14:textFill>
              </w:rPr>
              <w:t xml:space="preserve">.5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AFB6B8F">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r>
              <w:rPr>
                <w:rFonts w:ascii="宋体" w:hAnsi="宋体" w:cs="宋体"/>
                <w:color w:val="000000" w:themeColor="text1"/>
                <w:kern w:val="0"/>
                <w:sz w:val="20"/>
                <w:szCs w:val="20"/>
                <w:lang w:bidi="ar"/>
                <w14:textFill>
                  <w14:solidFill>
                    <w14:schemeClr w14:val="tx1"/>
                  </w14:solidFill>
                </w14:textFill>
              </w:rPr>
              <w:t>1</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1635B73">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r>
              <w:rPr>
                <w:rFonts w:ascii="宋体" w:hAnsi="宋体" w:cs="宋体"/>
                <w:color w:val="000000" w:themeColor="text1"/>
                <w:kern w:val="0"/>
                <w:sz w:val="20"/>
                <w:szCs w:val="20"/>
                <w:lang w:bidi="ar"/>
                <w14:textFill>
                  <w14:solidFill>
                    <w14:schemeClr w14:val="tx1"/>
                  </w14:solidFill>
                </w14:textFill>
              </w:rPr>
              <w:t>5</w:t>
            </w:r>
            <w:r>
              <w:rPr>
                <w:rFonts w:hint="eastAsia" w:ascii="宋体" w:hAnsi="宋体" w:cs="宋体"/>
                <w:color w:val="000000" w:themeColor="text1"/>
                <w:kern w:val="0"/>
                <w:sz w:val="20"/>
                <w:szCs w:val="20"/>
                <w:lang w:bidi="ar"/>
                <w14:textFill>
                  <w14:solidFill>
                    <w14:schemeClr w14:val="tx1"/>
                  </w14:solidFill>
                </w14:textFill>
              </w:rPr>
              <w:t xml:space="preserve"> </w:t>
            </w:r>
          </w:p>
        </w:tc>
        <w:tc>
          <w:tcPr>
            <w:tcW w:w="8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1E807BF">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195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CAFD04B">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r>
              <w:rPr>
                <w:rFonts w:ascii="宋体" w:hAnsi="宋体" w:cs="宋体"/>
                <w:color w:val="000000" w:themeColor="text1"/>
                <w:kern w:val="0"/>
                <w:sz w:val="20"/>
                <w:szCs w:val="20"/>
                <w:lang w:bidi="ar"/>
                <w14:textFill>
                  <w14:solidFill>
                    <w14:schemeClr w14:val="tx1"/>
                  </w14:solidFill>
                </w14:textFill>
              </w:rPr>
              <w:t>7</w:t>
            </w:r>
            <w:r>
              <w:rPr>
                <w:rFonts w:hint="eastAsia" w:ascii="宋体" w:hAnsi="宋体" w:cs="宋体"/>
                <w:color w:val="000000" w:themeColor="text1"/>
                <w:kern w:val="0"/>
                <w:sz w:val="20"/>
                <w:szCs w:val="20"/>
                <w:lang w:bidi="ar"/>
                <w14:textFill>
                  <w14:solidFill>
                    <w14:schemeClr w14:val="tx1"/>
                  </w14:solidFill>
                </w14:textFill>
              </w:rPr>
              <w:t xml:space="preserve">.5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74718F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r>
              <w:rPr>
                <w:rFonts w:ascii="宋体" w:hAnsi="宋体" w:cs="宋体"/>
                <w:color w:val="000000" w:themeColor="text1"/>
                <w:kern w:val="0"/>
                <w:sz w:val="20"/>
                <w:szCs w:val="20"/>
                <w:lang w:bidi="ar"/>
                <w14:textFill>
                  <w14:solidFill>
                    <w14:schemeClr w14:val="tx1"/>
                  </w14:solidFill>
                </w14:textFill>
              </w:rPr>
              <w:t>0</w:t>
            </w:r>
            <w:r>
              <w:rPr>
                <w:rFonts w:hint="eastAsia" w:ascii="宋体" w:hAnsi="宋体" w:cs="宋体"/>
                <w:color w:val="000000" w:themeColor="text1"/>
                <w:kern w:val="0"/>
                <w:sz w:val="20"/>
                <w:szCs w:val="20"/>
                <w:lang w:bidi="ar"/>
                <w14:textFill>
                  <w14:solidFill>
                    <w14:schemeClr w14:val="tx1"/>
                  </w14:solidFill>
                </w14:textFill>
              </w:rPr>
              <w:t xml:space="preserve">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E3A9B53">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r>
              <w:rPr>
                <w:rFonts w:ascii="宋体" w:hAnsi="宋体" w:cs="宋体"/>
                <w:color w:val="000000" w:themeColor="text1"/>
                <w:kern w:val="0"/>
                <w:sz w:val="20"/>
                <w:szCs w:val="20"/>
                <w:lang w:bidi="ar"/>
                <w14:textFill>
                  <w14:solidFill>
                    <w14:schemeClr w14:val="tx1"/>
                  </w14:solidFill>
                </w14:textFill>
              </w:rPr>
              <w:t>0</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62C0F3F">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195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F1AE72D">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r>
      <w:tr w14:paraId="048EC322">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34F8E0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鹅业公司养殖基地</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6196FD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13.5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BBBF4E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54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EF54C06">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46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BD131B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899389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55B851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BF20E25">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40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548E900">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34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BE3793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D4377E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4255230">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40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DE2F31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34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BB245E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BD141C4">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r>
      <w:tr w14:paraId="4BCEB601">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C40259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铜鼓岔路养殖基地</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553941D">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50.0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2454EE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80B5EC6">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85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5EA05B4">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52E19194">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B07E15F">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50.0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D3C3E8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5BAD04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380840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7381165">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50.0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86E4E8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200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D84A795">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170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BAC633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5E64F3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招商新建</w:t>
            </w:r>
          </w:p>
        </w:tc>
      </w:tr>
      <w:tr w14:paraId="0E477BE6">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6F0CF9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铜鼓镇</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A90F596">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30627C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02A8C6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17B7A24">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574E341B">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4E2350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1A21375">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90DF41A">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02B3FE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D13C40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D4C86D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D3B9C2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24E809F">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A79CDA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r>
      <w:tr w14:paraId="4DA015E1">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0369CC4">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敦寨镇</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8CEC5D0">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85ED25A">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2989BC0">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81C5F46">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585D38DA">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0A19B44">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6FD789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1A80E8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D36315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7D0430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FF947EA">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4D8188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F86B71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9F4BB9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r>
      <w:tr w14:paraId="124C175C">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35BE0B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新化乡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A93FB3A">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DD5EB5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70D652D">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E473BC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0D48164A">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2910D8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79D4CDD">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A9038A3">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CE3CE2C">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A219C60">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7.0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B30C7CD">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EB0AB05">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14A65C8">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23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DC4DEEF">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r>
      <w:tr w14:paraId="34B15D5A">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F5F22D5">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隆里乡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18D4F16">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6.0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44B8B31">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AFEF904">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5943E0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20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1A38898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020C17D">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5</w:t>
            </w:r>
            <w:r>
              <w:rPr>
                <w:rFonts w:hint="eastAsia" w:ascii="宋体" w:hAnsi="宋体" w:cs="宋体"/>
                <w:color w:val="000000" w:themeColor="text1"/>
                <w:kern w:val="0"/>
                <w:sz w:val="20"/>
                <w:szCs w:val="20"/>
                <w:lang w:bidi="ar"/>
                <w14:textFill>
                  <w14:solidFill>
                    <w14:schemeClr w14:val="tx1"/>
                  </w14:solidFill>
                </w14:textFill>
              </w:rPr>
              <w:t xml:space="preserve">.0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326183E">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18</w:t>
            </w:r>
            <w:r>
              <w:rPr>
                <w:rFonts w:hint="eastAsia" w:ascii="宋体" w:hAnsi="宋体" w:cs="宋体"/>
                <w:color w:val="000000" w:themeColor="text1"/>
                <w:kern w:val="0"/>
                <w:sz w:val="20"/>
                <w:szCs w:val="20"/>
                <w:lang w:bidi="ar"/>
                <w14:textFill>
                  <w14:solidFill>
                    <w14:schemeClr w14:val="tx1"/>
                  </w14:solidFill>
                </w14:textFill>
              </w:rPr>
              <w:t xml:space="preserve">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385CA6B">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15</w:t>
            </w:r>
            <w:r>
              <w:rPr>
                <w:rFonts w:hint="eastAsia" w:ascii="宋体" w:hAnsi="宋体" w:cs="宋体"/>
                <w:color w:val="000000" w:themeColor="text1"/>
                <w:kern w:val="0"/>
                <w:sz w:val="20"/>
                <w:szCs w:val="20"/>
                <w:lang w:bidi="ar"/>
                <w14:textFill>
                  <w14:solidFill>
                    <w14:schemeClr w14:val="tx1"/>
                  </w14:solidFill>
                </w14:textFill>
              </w:rPr>
              <w:t xml:space="preserve">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4594F5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DC38447">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5</w:t>
            </w:r>
            <w:r>
              <w:rPr>
                <w:rFonts w:hint="eastAsia" w:ascii="宋体" w:hAnsi="宋体" w:cs="宋体"/>
                <w:color w:val="000000" w:themeColor="text1"/>
                <w:kern w:val="0"/>
                <w:sz w:val="20"/>
                <w:szCs w:val="20"/>
                <w:lang w:bidi="ar"/>
                <w14:textFill>
                  <w14:solidFill>
                    <w14:schemeClr w14:val="tx1"/>
                  </w14:solidFill>
                </w14:textFill>
              </w:rPr>
              <w:t xml:space="preserve">.0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4C16209">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20</w:t>
            </w:r>
            <w:r>
              <w:rPr>
                <w:rFonts w:hint="eastAsia" w:ascii="宋体" w:hAnsi="宋体" w:cs="宋体"/>
                <w:color w:val="000000" w:themeColor="text1"/>
                <w:kern w:val="0"/>
                <w:sz w:val="20"/>
                <w:szCs w:val="20"/>
                <w:lang w:bidi="ar"/>
                <w14:textFill>
                  <w14:solidFill>
                    <w14:schemeClr w14:val="tx1"/>
                  </w14:solidFill>
                </w14:textFill>
              </w:rPr>
              <w:t xml:space="preserve">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42511E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kern w:val="0"/>
                <w:sz w:val="20"/>
                <w:szCs w:val="20"/>
                <w:lang w:bidi="ar"/>
                <w14:textFill>
                  <w14:solidFill>
                    <w14:schemeClr w14:val="tx1"/>
                  </w14:solidFill>
                </w14:textFill>
              </w:rPr>
              <w:t>17</w:t>
            </w:r>
            <w:r>
              <w:rPr>
                <w:rFonts w:hint="eastAsia" w:ascii="宋体" w:hAnsi="宋体" w:cs="宋体"/>
                <w:color w:val="000000" w:themeColor="text1"/>
                <w:kern w:val="0"/>
                <w:sz w:val="20"/>
                <w:szCs w:val="20"/>
                <w:lang w:bidi="ar"/>
                <w14:textFill>
                  <w14:solidFill>
                    <w14:schemeClr w14:val="tx1"/>
                  </w14:solidFill>
                </w14:textFill>
              </w:rPr>
              <w:t xml:space="preserve">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9848F12">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86C781B">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r>
      <w:tr w14:paraId="4D1C9B23">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14DA78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钟灵乡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053D6F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199FDB6">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76BCD1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2F8EAE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52C55EE">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59F933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00DC54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3E3993E">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16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E7F84B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D18334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50651A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866D5B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3206720">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578CD1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11BAC705">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683163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启蒙镇</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8B6F22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BBBADC7">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6A1BB6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1AB583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0519616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7E7FB99">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36F9520">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D5044D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80703E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D5DBBE0">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7979C60">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14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310B127">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22FB4F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03D841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0CA8E71A">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3D3D986">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大同乡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C9D0E66">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9097C7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57E1A5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D391C1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CCF7B4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5C728A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3C14A77">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C483E1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913C93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FA4A94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F14A99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6DBD86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EF677C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461E26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3A675741">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BEEF6A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茅坪镇</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0EB9D9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B7CFCE9">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6E8945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BAFF80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9FE320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AFAAC46">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4587DE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B403C0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5241949">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CD0979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94B15B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23FB46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EE618C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BA2A459">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038AB4D6">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D2A07E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偶里乡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AE012A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8C151E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DD3FC8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FE6F66E">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7AF18F4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2ADD0C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112D2B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19BA88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6BA10F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1ACD2D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D600C7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A2B4B6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A16B8D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84F219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4986303A">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CAE6E80">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三江镇</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994BB4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8EFC836">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E36BB66">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72F912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007E08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BEFF5F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F1FCB0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328D62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0BE56E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351808E">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2.5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EF61AD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4AB77F0">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22228B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01CE9F0">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7AE080D3">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1EADD3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平略镇</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1D18B7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16FA6F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39B2C6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672850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5709C2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11E529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3317AF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11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762309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9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ECCC46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4CD1DF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1EF1D9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A05784E">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E1B073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EA94AD7">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75B4FEAC">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90E0027">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平秋镇</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29917E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4D9E259">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CE9C44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3AEBC2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26C2A23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8ED050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3FA10F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7E169A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2B4692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527517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197FA6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3DBA0D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8C4F56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614E85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285CFB41">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508108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彦洞乡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A02AEE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55CBF9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7C0DDD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51A2AB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56F8F66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5E2248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32023E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923BC3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CA600D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C589B9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D1DA2A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5EACA6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31D633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DBB31DE">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505C73CF">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6265E7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固本乡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1D7F04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7B2764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23A279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62A22E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058C8F5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55BCA4F">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9A763D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33CD91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B9383D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D5D6CE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90761DC">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F8E21A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7CD0BC17">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8210498">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r w14:paraId="0963A875">
        <w:tblPrEx>
          <w:tblCellMar>
            <w:top w:w="0" w:type="dxa"/>
            <w:left w:w="0" w:type="dxa"/>
            <w:bottom w:w="0" w:type="dxa"/>
            <w:right w:w="0" w:type="dxa"/>
          </w:tblCellMar>
        </w:tblPrEx>
        <w:trPr>
          <w:trHeight w:val="399" w:hRule="atLeast"/>
        </w:trPr>
        <w:tc>
          <w:tcPr>
            <w:tcW w:w="1049"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21F3242">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河口乡</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9C7B7CA">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E39321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C118D8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B25802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724" w:type="dxa"/>
            <w:tcBorders>
              <w:top w:val="nil"/>
              <w:left w:val="nil"/>
              <w:bottom w:val="single" w:color="auto" w:sz="4" w:space="0"/>
              <w:right w:val="single" w:color="auto" w:sz="4" w:space="0"/>
            </w:tcBorders>
            <w:tcMar>
              <w:top w:w="15" w:type="dxa"/>
              <w:left w:w="15" w:type="dxa"/>
              <w:right w:w="15" w:type="dxa"/>
            </w:tcMar>
            <w:vAlign w:val="center"/>
          </w:tcPr>
          <w:p w14:paraId="0BF186E4">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4375076">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9061345">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4CDAAD1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6448B313">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30E25C0B">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2.0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2085ADE7">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02EAB601">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6.80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537A53D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7 </w:t>
            </w:r>
          </w:p>
        </w:tc>
        <w:tc>
          <w:tcPr>
            <w:tcW w:w="820" w:type="dxa"/>
            <w:tcBorders>
              <w:top w:val="nil"/>
              <w:left w:val="nil"/>
              <w:bottom w:val="single" w:color="auto" w:sz="4" w:space="0"/>
              <w:right w:val="single" w:color="auto" w:sz="4" w:space="0"/>
            </w:tcBorders>
            <w:tcMar>
              <w:top w:w="15" w:type="dxa"/>
              <w:left w:w="15" w:type="dxa"/>
              <w:right w:w="15" w:type="dxa"/>
            </w:tcMar>
            <w:vAlign w:val="center"/>
          </w:tcPr>
          <w:p w14:paraId="18F3F17D">
            <w:pPr>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w:t>
            </w:r>
          </w:p>
        </w:tc>
      </w:tr>
    </w:tbl>
    <w:p w14:paraId="10C164C0">
      <w:pPr>
        <w:sectPr>
          <w:pgSz w:w="16838" w:h="11906" w:orient="landscape"/>
          <w:pgMar w:top="238" w:right="1531" w:bottom="244" w:left="1758" w:header="170" w:footer="0" w:gutter="0"/>
          <w:cols w:space="720" w:num="1"/>
          <w:docGrid w:type="lines" w:linePitch="435" w:charSpace="0"/>
        </w:sectPr>
      </w:pPr>
      <w:r>
        <w:rPr>
          <w:rFonts w:hint="eastAsia"/>
          <w:sz w:val="24"/>
        </w:rPr>
        <w:t>注：2025年任务表已扣除了已经出栏7万和存栏20万</w:t>
      </w:r>
      <w:r>
        <w:tab/>
      </w:r>
    </w:p>
    <w:p w14:paraId="3D324870">
      <w:pPr>
        <w:pStyle w:val="2"/>
        <w:ind w:firstLine="0" w:firstLineChars="0"/>
        <w:rPr>
          <w:rFonts w:eastAsia="宋体"/>
          <w:color w:val="000000"/>
        </w:rPr>
      </w:pPr>
      <w:r>
        <w:rPr>
          <w:rFonts w:hint="eastAsia" w:eastAsia="宋体"/>
          <w:color w:val="000000"/>
        </w:rPr>
        <w:t>附件3：</w:t>
      </w:r>
    </w:p>
    <w:p w14:paraId="7714F8A3">
      <w:pPr>
        <w:ind w:firstLine="440" w:firstLineChars="10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锦屏县2025年生态鹅产业发展实施方案</w:t>
      </w:r>
    </w:p>
    <w:p w14:paraId="1FD61E13">
      <w:pPr>
        <w:spacing w:line="560" w:lineRule="exact"/>
        <w:rPr>
          <w:color w:val="000000"/>
        </w:rPr>
      </w:pPr>
    </w:p>
    <w:p w14:paraId="1FD36EDD">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为加快推进锦屏县生态鹅产业高质量发展，实现</w:t>
      </w:r>
      <w:r>
        <w:rPr>
          <w:rFonts w:hint="eastAsia" w:ascii="仿宋_GB2312" w:hAnsi="仿宋_GB2312" w:eastAsia="仿宋_GB2312" w:cs="仿宋_GB2312"/>
          <w:color w:val="000000"/>
          <w:szCs w:val="32"/>
          <w:lang w:eastAsia="zh-CN"/>
        </w:rPr>
        <w:t>一二三产业</w:t>
      </w:r>
      <w:r>
        <w:rPr>
          <w:rFonts w:hint="eastAsia" w:ascii="仿宋_GB2312" w:hAnsi="仿宋_GB2312" w:eastAsia="仿宋_GB2312" w:cs="仿宋_GB2312"/>
          <w:color w:val="000000"/>
          <w:szCs w:val="32"/>
        </w:rPr>
        <w:t>深度融合。按照省委、省政府和州委、州政府有关工作部署，结合我县实际，制定本方案。</w:t>
      </w:r>
    </w:p>
    <w:p w14:paraId="6A3689A3">
      <w:pPr>
        <w:ind w:firstLine="640" w:firstLineChars="200"/>
        <w:rPr>
          <w:rFonts w:ascii="黑体" w:hAnsi="黑体" w:eastAsia="黑体" w:cs="黑体"/>
          <w:color w:val="000000"/>
          <w:szCs w:val="32"/>
        </w:rPr>
      </w:pPr>
      <w:r>
        <w:rPr>
          <w:rFonts w:hint="eastAsia" w:ascii="黑体" w:hAnsi="黑体" w:eastAsia="黑体" w:cs="黑体"/>
          <w:color w:val="000000"/>
          <w:szCs w:val="32"/>
        </w:rPr>
        <w:t>一、发展目标</w:t>
      </w:r>
    </w:p>
    <w:p w14:paraId="2B58BA62">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进一步健全和完善锦屏生态鹅产业链条，稳步推进品种选育改良，健全完善养殖标准体系，养殖和精深加工规模大幅提升，实现一二三产深度融合，产业集群凸显，品牌影响力和市场占有率逐年提升，产业整体实力和社会经济效益全面增强。培育龙头企业4家以上（其中种业、养殖、屠宰、鹅肉加工企业各1家以上），推行规模化、集约化生产，新建规模化养殖单元</w:t>
      </w:r>
      <w:r>
        <w:rPr>
          <w:rFonts w:ascii="仿宋_GB2312" w:hAnsi="仿宋_GB2312" w:eastAsia="仿宋_GB2312" w:cs="仿宋_GB2312"/>
          <w:color w:val="000000"/>
          <w:szCs w:val="32"/>
        </w:rPr>
        <w:t>240</w:t>
      </w:r>
      <w:r>
        <w:rPr>
          <w:rFonts w:hint="eastAsia" w:ascii="仿宋_GB2312" w:hAnsi="仿宋_GB2312" w:eastAsia="仿宋_GB2312" w:cs="仿宋_GB2312"/>
          <w:color w:val="000000"/>
          <w:szCs w:val="32"/>
        </w:rPr>
        <w:t>个以上，改扩建</w:t>
      </w:r>
      <w:r>
        <w:rPr>
          <w:rFonts w:ascii="仿宋_GB2312" w:hAnsi="仿宋_GB2312" w:eastAsia="仿宋_GB2312" w:cs="仿宋_GB2312"/>
          <w:color w:val="000000"/>
          <w:szCs w:val="32"/>
        </w:rPr>
        <w:t>规模化养殖单元</w:t>
      </w:r>
      <w:r>
        <w:rPr>
          <w:rFonts w:hint="eastAsia" w:ascii="仿宋_GB2312" w:hAnsi="仿宋_GB2312" w:eastAsia="仿宋_GB2312" w:cs="仿宋_GB2312"/>
          <w:color w:val="000000"/>
          <w:szCs w:val="32"/>
        </w:rPr>
        <w:t>45个</w:t>
      </w:r>
      <w:r>
        <w:rPr>
          <w:rFonts w:ascii="仿宋_GB2312" w:hAnsi="仿宋_GB2312" w:eastAsia="仿宋_GB2312" w:cs="仿宋_GB2312"/>
          <w:color w:val="000000"/>
          <w:szCs w:val="32"/>
        </w:rPr>
        <w:t>以上，</w:t>
      </w:r>
      <w:r>
        <w:rPr>
          <w:rFonts w:hint="eastAsia" w:ascii="仿宋_GB2312" w:hAnsi="仿宋_GB2312" w:eastAsia="仿宋_GB2312" w:cs="仿宋_GB2312"/>
          <w:color w:val="000000"/>
          <w:szCs w:val="32"/>
        </w:rPr>
        <w:t>培育养殖主体</w:t>
      </w:r>
      <w:r>
        <w:rPr>
          <w:rFonts w:ascii="仿宋_GB2312" w:hAnsi="仿宋_GB2312" w:eastAsia="仿宋_GB2312" w:cs="仿宋_GB2312"/>
          <w:color w:val="000000"/>
          <w:szCs w:val="32"/>
        </w:rPr>
        <w:t>100</w:t>
      </w:r>
      <w:r>
        <w:rPr>
          <w:rFonts w:hint="eastAsia" w:ascii="仿宋_GB2312" w:hAnsi="仿宋_GB2312" w:eastAsia="仿宋_GB2312" w:cs="仿宋_GB2312"/>
          <w:color w:val="000000"/>
          <w:szCs w:val="32"/>
        </w:rPr>
        <w:t>个以上。到2025年底，种鹅稳定存栏量达10万羽以上，商品鹅出栏3</w:t>
      </w:r>
      <w:r>
        <w:rPr>
          <w:rFonts w:ascii="仿宋_GB2312" w:hAnsi="仿宋_GB2312" w:eastAsia="仿宋_GB2312" w:cs="仿宋_GB2312"/>
          <w:color w:val="000000"/>
          <w:szCs w:val="32"/>
        </w:rPr>
        <w:t>5</w:t>
      </w:r>
      <w:r>
        <w:rPr>
          <w:rFonts w:hint="eastAsia" w:ascii="仿宋_GB2312" w:hAnsi="仿宋_GB2312" w:eastAsia="仿宋_GB2312" w:cs="仿宋_GB2312"/>
          <w:color w:val="000000"/>
          <w:szCs w:val="32"/>
        </w:rPr>
        <w:t>0万羽以上，综合产值</w:t>
      </w:r>
      <w:r>
        <w:rPr>
          <w:rFonts w:ascii="仿宋_GB2312" w:hAnsi="仿宋_GB2312" w:eastAsia="仿宋_GB2312" w:cs="仿宋_GB2312"/>
          <w:color w:val="000000"/>
          <w:szCs w:val="32"/>
        </w:rPr>
        <w:t>7</w:t>
      </w:r>
      <w:r>
        <w:rPr>
          <w:rFonts w:hint="eastAsia" w:ascii="仿宋_GB2312" w:hAnsi="仿宋_GB2312" w:eastAsia="仿宋_GB2312" w:cs="仿宋_GB2312"/>
          <w:color w:val="000000"/>
          <w:szCs w:val="32"/>
        </w:rPr>
        <w:t xml:space="preserve">亿元以上。 </w:t>
      </w:r>
    </w:p>
    <w:p w14:paraId="74C85832">
      <w:pPr>
        <w:pStyle w:val="4"/>
        <w:spacing w:after="0"/>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二、重点工作任务</w:t>
      </w:r>
    </w:p>
    <w:p w14:paraId="2E5AC3B2">
      <w:pPr>
        <w:ind w:firstLine="643" w:firstLineChars="200"/>
        <w:rPr>
          <w:rFonts w:ascii="仿宋_GB2312" w:hAnsi="仿宋_GB2312" w:eastAsia="仿宋_GB2312" w:cs="仿宋_GB2312"/>
          <w:color w:val="000000"/>
          <w:szCs w:val="32"/>
        </w:rPr>
      </w:pPr>
      <w:r>
        <w:rPr>
          <w:rFonts w:hint="eastAsia" w:ascii="楷体" w:hAnsi="楷体" w:eastAsia="楷体" w:cs="楷体"/>
          <w:b/>
          <w:bCs/>
          <w:color w:val="000000"/>
          <w:szCs w:val="32"/>
        </w:rPr>
        <w:t>（一）县属国有企业养殖。</w:t>
      </w:r>
      <w:r>
        <w:rPr>
          <w:rFonts w:hint="eastAsia" w:ascii="仿宋_GB2312" w:hAnsi="仿宋_GB2312" w:eastAsia="仿宋_GB2312" w:cs="仿宋_GB2312"/>
          <w:color w:val="000000"/>
          <w:szCs w:val="32"/>
        </w:rPr>
        <w:t>按照规模化养殖标准，县生态鹅业公司全面排查修整新化高文养殖场、敦寨捧寨湾养殖场、新化欧阳育雏场等闲置资产，改造提升敦寨大冲养殖基地、山洞养殖基地，通过自主养殖或承包出租等多种经营方式，实现满棚多批量养殖，提高资产利用率。全年养殖批次不少于4批次，单批次养殖量不少于</w:t>
      </w:r>
      <w:r>
        <w:rPr>
          <w:rFonts w:ascii="仿宋_GB2312" w:hAnsi="仿宋_GB2312" w:eastAsia="仿宋_GB2312" w:cs="仿宋_GB2312"/>
          <w:color w:val="000000"/>
          <w:szCs w:val="32"/>
        </w:rPr>
        <w:t>14</w:t>
      </w:r>
      <w:r>
        <w:rPr>
          <w:rFonts w:hint="eastAsia" w:ascii="仿宋_GB2312" w:hAnsi="仿宋_GB2312" w:eastAsia="仿宋_GB2312" w:cs="仿宋_GB2312"/>
          <w:color w:val="000000"/>
          <w:szCs w:val="32"/>
        </w:rPr>
        <w:t>万羽，实现年养殖量5</w:t>
      </w:r>
      <w:r>
        <w:rPr>
          <w:rFonts w:ascii="仿宋_GB2312" w:hAnsi="仿宋_GB2312" w:eastAsia="仿宋_GB2312" w:cs="仿宋_GB2312"/>
          <w:color w:val="000000"/>
          <w:szCs w:val="32"/>
        </w:rPr>
        <w:t>4</w:t>
      </w:r>
      <w:r>
        <w:rPr>
          <w:rFonts w:hint="eastAsia" w:ascii="仿宋_GB2312" w:hAnsi="仿宋_GB2312" w:eastAsia="仿宋_GB2312" w:cs="仿宋_GB2312"/>
          <w:color w:val="000000"/>
          <w:szCs w:val="32"/>
        </w:rPr>
        <w:t>万羽以上，出栏</w:t>
      </w:r>
      <w:r>
        <w:rPr>
          <w:rFonts w:ascii="仿宋_GB2312" w:hAnsi="仿宋_GB2312" w:eastAsia="仿宋_GB2312" w:cs="仿宋_GB2312"/>
          <w:color w:val="000000"/>
          <w:szCs w:val="32"/>
        </w:rPr>
        <w:t>49</w:t>
      </w:r>
      <w:r>
        <w:rPr>
          <w:rFonts w:hint="eastAsia" w:ascii="仿宋_GB2312" w:hAnsi="仿宋_GB2312" w:eastAsia="仿宋_GB2312" w:cs="仿宋_GB2312"/>
          <w:color w:val="000000"/>
          <w:szCs w:val="32"/>
        </w:rPr>
        <w:t>万羽以上。</w:t>
      </w:r>
    </w:p>
    <w:p w14:paraId="458F9DC8">
      <w:pPr>
        <w:ind w:firstLine="643" w:firstLineChars="200"/>
        <w:rPr>
          <w:rFonts w:ascii="仿宋_GB2312" w:hAnsi="仿宋_GB2312" w:eastAsia="仿宋_GB2312" w:cs="仿宋_GB2312"/>
          <w:color w:val="000000"/>
          <w:szCs w:val="32"/>
        </w:rPr>
      </w:pPr>
      <w:r>
        <w:rPr>
          <w:rFonts w:hint="eastAsia" w:ascii="楷体" w:hAnsi="楷体" w:eastAsia="楷体" w:cs="楷体"/>
          <w:b/>
          <w:bCs/>
          <w:color w:val="000000"/>
          <w:szCs w:val="32"/>
        </w:rPr>
        <w:t>（二）引进市场主体参与养殖。</w:t>
      </w:r>
      <w:r>
        <w:rPr>
          <w:rFonts w:hint="eastAsia" w:ascii="仿宋_GB2312" w:hAnsi="仿宋_GB2312" w:eastAsia="仿宋_GB2312" w:cs="仿宋_GB2312"/>
          <w:color w:val="000000"/>
          <w:szCs w:val="32"/>
        </w:rPr>
        <w:t>通过招商引资，引进国内养殖业优强企业参与全县鹅产业发展，启动铜鼓岔路村标准化养殖基地建设，建成批次养殖规模不少于50万羽的高标准养殖示范基地，进一步做大全县规模化、标准化养殖体量。力争2025年全年养殖批次不少于2次，实现年养殖量100万羽以上，出栏85万羽以上。</w:t>
      </w:r>
    </w:p>
    <w:p w14:paraId="1EC15D0D">
      <w:pPr>
        <w:pStyle w:val="2"/>
        <w:ind w:firstLine="643"/>
        <w:rPr>
          <w:rFonts w:ascii="仿宋_GB2312" w:hAnsi="仿宋_GB2312" w:eastAsia="仿宋_GB2312" w:cs="仿宋_GB2312"/>
          <w:color w:val="000000"/>
        </w:rPr>
      </w:pPr>
      <w:r>
        <w:rPr>
          <w:rFonts w:hint="eastAsia" w:ascii="楷体" w:hAnsi="楷体" w:eastAsia="楷体" w:cs="楷体"/>
          <w:b/>
          <w:bCs/>
          <w:color w:val="000000"/>
        </w:rPr>
        <w:t>（三）发展大户养殖。</w:t>
      </w:r>
      <w:r>
        <w:rPr>
          <w:rFonts w:hint="eastAsia" w:ascii="仿宋_GB2312" w:hAnsi="仿宋_GB2312" w:eastAsia="仿宋_GB2312" w:cs="仿宋_GB2312"/>
          <w:color w:val="000000"/>
        </w:rPr>
        <w:t>按照全县15个乡镇分为养殖核心区、养殖适宜区和养殖零星区的规划布局，明确核心区乡镇年养殖规模20万羽以上，适宜区乡镇年养殖规模10万羽以上，零星区乡镇年养殖规模5万羽以上的养殖发展目标。推行“公司+农户”合作养殖模式，采取”五统一分”大力发展养殖大户。2025年全年共培育发展养殖大户1</w:t>
      </w:r>
      <w:r>
        <w:rPr>
          <w:rFonts w:ascii="仿宋_GB2312" w:hAnsi="仿宋_GB2312" w:eastAsia="仿宋_GB2312" w:cs="仿宋_GB2312"/>
          <w:color w:val="000000"/>
        </w:rPr>
        <w:t>50</w:t>
      </w:r>
      <w:r>
        <w:rPr>
          <w:rFonts w:hint="eastAsia" w:ascii="仿宋_GB2312" w:hAnsi="仿宋_GB2312" w:eastAsia="仿宋_GB2312" w:cs="仿宋_GB2312"/>
          <w:color w:val="000000"/>
        </w:rPr>
        <w:t>户以上（户均批次养殖规模0.3</w:t>
      </w:r>
      <w:r>
        <w:rPr>
          <w:rFonts w:ascii="仿宋_GB2312" w:hAnsi="仿宋_GB2312" w:eastAsia="仿宋_GB2312" w:cs="仿宋_GB2312"/>
          <w:color w:val="000000"/>
        </w:rPr>
        <w:t>5</w:t>
      </w:r>
      <w:r>
        <w:rPr>
          <w:rFonts w:hint="eastAsia" w:ascii="仿宋_GB2312" w:hAnsi="仿宋_GB2312" w:eastAsia="仿宋_GB2312" w:cs="仿宋_GB2312"/>
          <w:color w:val="000000"/>
        </w:rPr>
        <w:t>万羽以上，年养殖4批次以上），实现单批次养殖量不少于</w:t>
      </w:r>
      <w:r>
        <w:rPr>
          <w:rFonts w:ascii="仿宋_GB2312" w:hAnsi="仿宋_GB2312" w:eastAsia="仿宋_GB2312" w:cs="仿宋_GB2312"/>
          <w:color w:val="000000"/>
        </w:rPr>
        <w:t>52</w:t>
      </w:r>
      <w:r>
        <w:rPr>
          <w:rFonts w:hint="eastAsia" w:ascii="仿宋_GB2312" w:hAnsi="仿宋_GB2312" w:eastAsia="仿宋_GB2312" w:cs="仿宋_GB2312"/>
          <w:color w:val="000000"/>
        </w:rPr>
        <w:t>万羽，年养殖量</w:t>
      </w:r>
      <w:r>
        <w:rPr>
          <w:rFonts w:ascii="仿宋_GB2312" w:hAnsi="仿宋_GB2312" w:eastAsia="仿宋_GB2312" w:cs="仿宋_GB2312"/>
          <w:color w:val="000000"/>
        </w:rPr>
        <w:t>208</w:t>
      </w:r>
      <w:r>
        <w:rPr>
          <w:rFonts w:hint="eastAsia" w:ascii="仿宋_GB2312" w:hAnsi="仿宋_GB2312" w:eastAsia="仿宋_GB2312" w:cs="仿宋_GB2312"/>
          <w:color w:val="000000"/>
        </w:rPr>
        <w:t>万羽以上，出栏17</w:t>
      </w:r>
      <w:r>
        <w:rPr>
          <w:rFonts w:ascii="仿宋_GB2312" w:hAnsi="仿宋_GB2312" w:eastAsia="仿宋_GB2312" w:cs="仿宋_GB2312"/>
          <w:color w:val="000000"/>
        </w:rPr>
        <w:t>6</w:t>
      </w:r>
      <w:r>
        <w:rPr>
          <w:rFonts w:hint="eastAsia" w:ascii="仿宋_GB2312" w:hAnsi="仿宋_GB2312" w:eastAsia="仿宋_GB2312" w:cs="仿宋_GB2312"/>
          <w:color w:val="000000"/>
        </w:rPr>
        <w:t>万羽以上。</w:t>
      </w:r>
    </w:p>
    <w:p w14:paraId="371A8D43">
      <w:pPr>
        <w:pStyle w:val="2"/>
        <w:ind w:firstLine="643"/>
        <w:rPr>
          <w:rFonts w:ascii="仿宋_GB2312" w:hAnsi="仿宋_GB2312" w:eastAsia="仿宋_GB2312" w:cs="仿宋_GB2312"/>
          <w:color w:val="000000"/>
        </w:rPr>
      </w:pPr>
      <w:r>
        <w:rPr>
          <w:rFonts w:hint="eastAsia" w:ascii="楷体" w:hAnsi="楷体" w:eastAsia="楷体" w:cs="楷体"/>
          <w:b/>
          <w:bCs/>
          <w:color w:val="000000"/>
        </w:rPr>
        <w:t>（四）发展社会</w:t>
      </w:r>
      <w:r>
        <w:rPr>
          <w:rFonts w:ascii="楷体" w:hAnsi="楷体" w:eastAsia="楷体" w:cs="楷体"/>
          <w:b/>
          <w:bCs/>
          <w:color w:val="000000"/>
        </w:rPr>
        <w:t>散养户</w:t>
      </w:r>
      <w:r>
        <w:rPr>
          <w:rFonts w:hint="eastAsia" w:ascii="楷体" w:hAnsi="楷体" w:eastAsia="楷体" w:cs="楷体"/>
          <w:b/>
          <w:bCs/>
          <w:color w:val="000000"/>
        </w:rPr>
        <w:t>。</w:t>
      </w:r>
      <w:r>
        <w:rPr>
          <w:rFonts w:hint="eastAsia" w:ascii="仿宋_GB2312" w:hAnsi="仿宋_GB2312" w:eastAsia="仿宋_GB2312" w:cs="仿宋_GB2312"/>
          <w:color w:val="000000"/>
        </w:rPr>
        <w:t>鼓励乡村闲散劳动力、弱劳动力、无收入群体按照户均养殖</w:t>
      </w:r>
      <w:r>
        <w:rPr>
          <w:rFonts w:ascii="仿宋_GB2312" w:hAnsi="仿宋_GB2312" w:eastAsia="仿宋_GB2312" w:cs="仿宋_GB2312"/>
          <w:color w:val="000000"/>
        </w:rPr>
        <w:t>1</w:t>
      </w:r>
      <w:r>
        <w:rPr>
          <w:rFonts w:hint="eastAsia" w:ascii="仿宋_GB2312" w:hAnsi="仿宋_GB2312" w:eastAsia="仿宋_GB2312" w:cs="仿宋_GB2312"/>
          <w:color w:val="000000"/>
        </w:rPr>
        <w:t>0-50羽规模，充分发挥不适宜耕作的荒田地、冬闲田等土地资源和季节轮作茬口进行生态放养，年内实现春耕插秧前和秋收后两个批次养殖，力争2025年全年完成出栏</w:t>
      </w:r>
      <w:r>
        <w:rPr>
          <w:rFonts w:ascii="仿宋_GB2312" w:hAnsi="仿宋_GB2312" w:eastAsia="仿宋_GB2312" w:cs="仿宋_GB2312"/>
          <w:color w:val="000000"/>
        </w:rPr>
        <w:t>40</w:t>
      </w:r>
      <w:r>
        <w:rPr>
          <w:rFonts w:hint="eastAsia" w:ascii="仿宋_GB2312" w:hAnsi="仿宋_GB2312" w:eastAsia="仿宋_GB2312" w:cs="仿宋_GB2312"/>
          <w:color w:val="000000"/>
        </w:rPr>
        <w:t>万羽以上。</w:t>
      </w:r>
    </w:p>
    <w:p w14:paraId="34AB72EF">
      <w:pPr>
        <w:ind w:firstLine="640" w:firstLineChars="200"/>
        <w:rPr>
          <w:rFonts w:ascii="黑体" w:hAnsi="黑体" w:eastAsia="黑体" w:cs="黑体"/>
          <w:color w:val="000000"/>
          <w:szCs w:val="32"/>
        </w:rPr>
      </w:pPr>
      <w:r>
        <w:rPr>
          <w:rFonts w:hint="eastAsia" w:ascii="黑体" w:hAnsi="黑体" w:eastAsia="黑体" w:cs="黑体"/>
          <w:color w:val="000000"/>
          <w:szCs w:val="32"/>
        </w:rPr>
        <w:t>三、主要工作措施</w:t>
      </w:r>
    </w:p>
    <w:p w14:paraId="5456AA16">
      <w:pPr>
        <w:ind w:firstLine="643" w:firstLineChars="200"/>
        <w:rPr>
          <w:rFonts w:ascii="楷体" w:hAnsi="楷体" w:eastAsia="楷体" w:cs="楷体"/>
          <w:b/>
          <w:bCs/>
          <w:color w:val="000000"/>
          <w:szCs w:val="32"/>
        </w:rPr>
      </w:pPr>
      <w:r>
        <w:rPr>
          <w:rFonts w:hint="eastAsia" w:ascii="楷体" w:hAnsi="楷体" w:eastAsia="楷体" w:cs="楷体"/>
          <w:b/>
          <w:bCs/>
          <w:color w:val="000000"/>
          <w:szCs w:val="32"/>
        </w:rPr>
        <w:t>（一）做好鹅苗供应保障。</w:t>
      </w:r>
    </w:p>
    <w:p w14:paraId="11721D1A">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1.新建原种场。引进“三花鹅”的祖父代皖西种鹅进行原种养殖，为下步推行“大三花”养殖提供种质资源。</w:t>
      </w:r>
    </w:p>
    <w:p w14:paraId="2B000A04">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2.提升良种繁育能力。持续深耕种鹅养</w:t>
      </w:r>
      <w:bookmarkStart w:id="1" w:name="_GoBack"/>
      <w:bookmarkEnd w:id="1"/>
      <w:r>
        <w:rPr>
          <w:rFonts w:hint="eastAsia" w:ascii="仿宋_GB2312" w:hAnsi="仿宋_GB2312" w:eastAsia="仿宋_GB2312" w:cs="仿宋_GB2312"/>
          <w:color w:val="000000"/>
          <w:szCs w:val="32"/>
        </w:rPr>
        <w:t>殖领域，开展野猫冲反季节种鹅养殖技术攻关，确保种鹅健康、繁殖能力强，减少疾病的发生，不断提升后代生产性能。全年种鹅存栏量达5万羽以上。</w:t>
      </w:r>
    </w:p>
    <w:p w14:paraId="222C38B2">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3.扩大种鹅养殖规模。启动马台扩繁场改扩建工程，实施正季节种鹅养殖，全年种鹅存栏量达2万羽以上。</w:t>
      </w:r>
    </w:p>
    <w:p w14:paraId="477C63B3">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4.加强种苗企业合作。以市场需求为导向，不断优化更新商品鹅养殖品种，提高西南市场的接受度，采取投资新建、合作共建或商品采购等方式加强与优强种苗企业合作，切实补齐全县鹅苗需求缺</w:t>
      </w:r>
      <w:r>
        <w:rPr>
          <w:rFonts w:hint="eastAsia" w:ascii="仿宋_GB2312" w:hAnsi="仿宋_GB2312" w:eastAsia="仿宋_GB2312" w:cs="仿宋_GB2312"/>
          <w:color w:val="000000"/>
          <w:szCs w:val="32"/>
          <w:lang w:val="en-US" w:eastAsia="zh-CN"/>
        </w:rPr>
        <w:t>口</w:t>
      </w:r>
      <w:r>
        <w:rPr>
          <w:rFonts w:hint="eastAsia" w:ascii="仿宋_GB2312" w:hAnsi="仿宋_GB2312" w:eastAsia="仿宋_GB2312" w:cs="仿宋_GB2312"/>
          <w:color w:val="000000"/>
          <w:szCs w:val="32"/>
        </w:rPr>
        <w:t>。</w:t>
      </w:r>
    </w:p>
    <w:p w14:paraId="477D1538">
      <w:pPr>
        <w:ind w:firstLine="643" w:firstLineChars="200"/>
        <w:rPr>
          <w:rFonts w:ascii="楷体" w:hAnsi="楷体" w:eastAsia="楷体" w:cs="楷体"/>
          <w:b/>
          <w:bCs/>
          <w:color w:val="000000"/>
          <w:szCs w:val="32"/>
        </w:rPr>
      </w:pPr>
      <w:r>
        <w:rPr>
          <w:rFonts w:hint="eastAsia" w:ascii="楷体" w:hAnsi="楷体" w:eastAsia="楷体" w:cs="楷体"/>
          <w:b/>
          <w:bCs/>
          <w:color w:val="000000"/>
          <w:szCs w:val="32"/>
        </w:rPr>
        <w:t>（二）加快养殖基础设施建设。</w:t>
      </w:r>
    </w:p>
    <w:p w14:paraId="4BC9ECF7">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1.各乡镇组织力量对前期选好建设鹅圈的地块，按照设施农用地有关政策，指导经营主体办理用地手续，县自然资源局指导乡镇做好复垦复绿保证金收缴等有关工作</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有序推进鹅圈设施农</w:t>
      </w:r>
      <w:r>
        <w:rPr>
          <w:rFonts w:hint="eastAsia" w:ascii="仿宋_GB2312" w:hAnsi="仿宋_GB2312" w:eastAsia="仿宋_GB2312" w:cs="仿宋_GB2312"/>
          <w:color w:val="000000"/>
          <w:szCs w:val="32"/>
          <w:lang w:eastAsia="zh-CN"/>
        </w:rPr>
        <w:t>业用</w:t>
      </w:r>
      <w:r>
        <w:rPr>
          <w:rFonts w:hint="eastAsia" w:ascii="仿宋_GB2312" w:hAnsi="仿宋_GB2312" w:eastAsia="仿宋_GB2312" w:cs="仿宋_GB2312"/>
          <w:color w:val="000000"/>
          <w:szCs w:val="32"/>
        </w:rPr>
        <w:t>地办理工作进度，1月底</w:t>
      </w:r>
      <w:r>
        <w:rPr>
          <w:rFonts w:ascii="仿宋_GB2312" w:hAnsi="仿宋_GB2312" w:eastAsia="仿宋_GB2312" w:cs="仿宋_GB2312"/>
          <w:color w:val="000000"/>
          <w:szCs w:val="32"/>
        </w:rPr>
        <w:t>前完成设施农用地手续办理工作</w:t>
      </w:r>
      <w:r>
        <w:rPr>
          <w:rFonts w:hint="eastAsia" w:ascii="仿宋_GB2312" w:hAnsi="仿宋_GB2312" w:eastAsia="仿宋_GB2312" w:cs="仿宋_GB2312"/>
          <w:color w:val="000000"/>
          <w:szCs w:val="32"/>
        </w:rPr>
        <w:t>。</w:t>
      </w:r>
    </w:p>
    <w:p w14:paraId="0BA12A69">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2.推进铜鼓岔路综合养殖基地建设。及时</w:t>
      </w:r>
      <w:r>
        <w:rPr>
          <w:rFonts w:ascii="仿宋_GB2312" w:hAnsi="仿宋_GB2312" w:eastAsia="仿宋_GB2312" w:cs="仿宋_GB2312"/>
          <w:color w:val="000000"/>
          <w:szCs w:val="32"/>
        </w:rPr>
        <w:t>开展环境影响评价工作，</w:t>
      </w:r>
      <w:r>
        <w:rPr>
          <w:rFonts w:hint="eastAsia" w:ascii="仿宋_GB2312" w:hAnsi="仿宋_GB2312" w:eastAsia="仿宋_GB2312" w:cs="仿宋_GB2312"/>
          <w:color w:val="000000"/>
          <w:szCs w:val="32"/>
        </w:rPr>
        <w:t>积极争取“四化”基金、国债资金等项目投入产业基础设施建设，通过招商引资引进优强企业合作共建、自建自养等方式推进铜鼓岔路综合养殖基地建设，建成集种鹅养殖、孵化、商品肉鹅养殖为一体的综合产业园，满足种鹅存栏不少于5万羽以上，商品鹅</w:t>
      </w:r>
      <w:r>
        <w:rPr>
          <w:rFonts w:ascii="仿宋_GB2312" w:hAnsi="仿宋_GB2312" w:eastAsia="仿宋_GB2312" w:cs="仿宋_GB2312"/>
          <w:color w:val="000000"/>
          <w:szCs w:val="32"/>
        </w:rPr>
        <w:t>存栏不少于</w:t>
      </w:r>
      <w:r>
        <w:rPr>
          <w:rFonts w:hint="eastAsia" w:ascii="仿宋_GB2312" w:hAnsi="仿宋_GB2312" w:eastAsia="仿宋_GB2312" w:cs="仿宋_GB2312"/>
          <w:color w:val="000000"/>
          <w:szCs w:val="32"/>
        </w:rPr>
        <w:t>40万羽</w:t>
      </w:r>
      <w:r>
        <w:rPr>
          <w:rFonts w:ascii="仿宋_GB2312" w:hAnsi="仿宋_GB2312" w:eastAsia="仿宋_GB2312" w:cs="仿宋_GB2312"/>
          <w:color w:val="000000"/>
          <w:szCs w:val="32"/>
        </w:rPr>
        <w:t>，确保我县鹅苗供应</w:t>
      </w:r>
      <w:r>
        <w:rPr>
          <w:rFonts w:hint="eastAsia" w:ascii="仿宋_GB2312" w:hAnsi="仿宋_GB2312" w:eastAsia="仿宋_GB2312" w:cs="仿宋_GB2312"/>
          <w:color w:val="000000"/>
          <w:szCs w:val="32"/>
        </w:rPr>
        <w:t>，进一步做大全县规模化、标准化养殖体量</w:t>
      </w:r>
      <w:r>
        <w:rPr>
          <w:rFonts w:ascii="仿宋_GB2312" w:hAnsi="仿宋_GB2312" w:eastAsia="仿宋_GB2312" w:cs="仿宋_GB2312"/>
          <w:color w:val="000000"/>
          <w:szCs w:val="32"/>
        </w:rPr>
        <w:t>。</w:t>
      </w:r>
    </w:p>
    <w:p w14:paraId="7555B240">
      <w:pPr>
        <w:ind w:firstLine="640" w:firstLineChars="200"/>
        <w:rPr>
          <w:rFonts w:ascii="仿宋_GB2312" w:hAnsi="仿宋_GB2312" w:eastAsia="仿宋_GB2312" w:cs="仿宋_GB2312"/>
          <w:color w:val="000000"/>
          <w:szCs w:val="32"/>
        </w:rPr>
      </w:pPr>
      <w:r>
        <w:rPr>
          <w:rFonts w:ascii="仿宋_GB2312" w:hAnsi="仿宋_GB2312" w:eastAsia="仿宋_GB2312" w:cs="仿宋_GB2312"/>
          <w:color w:val="000000"/>
          <w:szCs w:val="32"/>
        </w:rPr>
        <w:t>3</w:t>
      </w:r>
      <w:r>
        <w:rPr>
          <w:rFonts w:hint="eastAsia" w:ascii="仿宋_GB2312" w:hAnsi="仿宋_GB2312" w:eastAsia="仿宋_GB2312" w:cs="仿宋_GB2312"/>
          <w:color w:val="000000"/>
          <w:szCs w:val="32"/>
        </w:rPr>
        <w:t>.推进规模养殖单元建设。围绕基础设施配套集中、生产发展条件便利、养殖技术服务管理抱团要求，在各乡镇分散布局养殖小区，养殖小区范围内相对集中建设一批标准养殖单元，每个养殖单元养殖规模不少于0.35万羽。对全县15个乡镇已选址的90个养殖点，按照“成熟一个建设一个运营一个”的原则，全年新建规模养殖单元240个。</w:t>
      </w:r>
    </w:p>
    <w:p w14:paraId="613AFA95">
      <w:pPr>
        <w:ind w:firstLine="640" w:firstLineChars="200"/>
        <w:rPr>
          <w:rFonts w:ascii="仿宋_GB2312" w:hAnsi="仿宋_GB2312" w:eastAsia="仿宋_GB2312" w:cs="仿宋_GB2312"/>
          <w:color w:val="000000"/>
          <w:szCs w:val="32"/>
        </w:rPr>
      </w:pPr>
      <w:r>
        <w:rPr>
          <w:rFonts w:ascii="仿宋_GB2312" w:hAnsi="仿宋_GB2312" w:eastAsia="仿宋_GB2312" w:cs="仿宋_GB2312"/>
          <w:color w:val="000000"/>
          <w:szCs w:val="32"/>
        </w:rPr>
        <w:t>4</w:t>
      </w:r>
      <w:r>
        <w:rPr>
          <w:rFonts w:hint="eastAsia" w:ascii="仿宋_GB2312" w:hAnsi="仿宋_GB2312" w:eastAsia="仿宋_GB2312" w:cs="仿宋_GB2312"/>
          <w:color w:val="000000"/>
          <w:szCs w:val="32"/>
        </w:rPr>
        <w:t>.实施旧棚改造计划。全面排查各乡镇闲置养猪场、养牛场、养鸡场等村集体资产，整合现有涉农政策资源，对可通过改造后继续投入养殖使用的养殖棚舍进行改造提升，优化通风、保温、防疫、环保等设施，改善养殖环境质量，达到商品鹅养殖条件。全年改扩建规模养殖单元45个以上。</w:t>
      </w:r>
    </w:p>
    <w:p w14:paraId="4EB9B327">
      <w:pPr>
        <w:ind w:firstLine="643" w:firstLineChars="200"/>
        <w:rPr>
          <w:rFonts w:ascii="仿宋_GB2312" w:hAnsi="仿宋_GB2312" w:cs="仿宋_GB2312"/>
          <w:color w:val="000000"/>
          <w:szCs w:val="32"/>
        </w:rPr>
      </w:pPr>
      <w:r>
        <w:rPr>
          <w:rFonts w:hint="eastAsia" w:ascii="楷体" w:hAnsi="楷体" w:eastAsia="楷体" w:cs="楷体"/>
          <w:b/>
          <w:bCs/>
          <w:color w:val="000000"/>
          <w:szCs w:val="32"/>
        </w:rPr>
        <w:t>（三）稳定饲料供应。</w:t>
      </w:r>
    </w:p>
    <w:p w14:paraId="6091CACC">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开展自配料研发供给。依托贵州农科院、重庆畜牧科学研究院等科研院校技术力量，结合我县养殖经验和品种差异，不断总结提升养殖料肉比等核心指标，研发适宜锦屏生态鹅的饲料，指导养殖户科学饲料、降低养殖成本。</w:t>
      </w:r>
    </w:p>
    <w:p w14:paraId="1CDF5372">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2.合作共建。加强与饲料生产企业合作，研发锦屏生态鹅饲料配方，采取县里设点、合作建厂、统购统销等方式保障年5万吨以上饲料供应。</w:t>
      </w:r>
    </w:p>
    <w:p w14:paraId="4E710132">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3.鼓励种养结合。鼓励推广种植玉米或牧草，部分替代精饲料饲养，降低养殖成本。</w:t>
      </w:r>
    </w:p>
    <w:p w14:paraId="373F197A">
      <w:pPr>
        <w:pStyle w:val="2"/>
        <w:ind w:firstLine="643"/>
        <w:rPr>
          <w:rFonts w:ascii="楷体" w:hAnsi="楷体" w:eastAsia="楷体" w:cs="楷体"/>
          <w:b/>
          <w:bCs/>
          <w:color w:val="000000"/>
        </w:rPr>
      </w:pPr>
      <w:r>
        <w:rPr>
          <w:rFonts w:hint="eastAsia" w:ascii="楷体" w:hAnsi="楷体" w:eastAsia="楷体" w:cs="楷体"/>
          <w:b/>
          <w:bCs/>
          <w:color w:val="000000"/>
        </w:rPr>
        <w:t>（四）畅通销售</w:t>
      </w:r>
      <w:r>
        <w:rPr>
          <w:rFonts w:ascii="楷体" w:hAnsi="楷体" w:eastAsia="楷体" w:cs="楷体"/>
          <w:b/>
          <w:bCs/>
          <w:color w:val="000000"/>
        </w:rPr>
        <w:t>渠道</w:t>
      </w:r>
      <w:r>
        <w:rPr>
          <w:rFonts w:hint="eastAsia" w:ascii="楷体" w:hAnsi="楷体" w:eastAsia="楷体" w:cs="楷体"/>
          <w:b/>
          <w:bCs/>
          <w:color w:val="000000"/>
        </w:rPr>
        <w:t>。</w:t>
      </w:r>
    </w:p>
    <w:p w14:paraId="33710E4F">
      <w:pPr>
        <w:pStyle w:val="2"/>
        <w:ind w:firstLine="640"/>
        <w:rPr>
          <w:rFonts w:ascii="仿宋_GB2312" w:hAnsi="仿宋_GB2312" w:eastAsia="仿宋_GB2312" w:cs="仿宋_GB2312"/>
          <w:color w:val="000000"/>
        </w:rPr>
      </w:pPr>
      <w:r>
        <w:rPr>
          <w:rFonts w:hint="eastAsia" w:ascii="仿宋_GB2312" w:hAnsi="仿宋_GB2312" w:eastAsia="仿宋_GB2312" w:cs="仿宋_GB2312"/>
          <w:color w:val="000000"/>
        </w:rPr>
        <w:t>1.充分发挥国有企业资源优势，组建专职销售团队，建立商品鹅收购中转场和市场价格信息平台，及时收购达标商品鹅、生态散养鹅，加强与湖南怀化、重庆荣昌等地区市场合作，稳定供需关系。</w:t>
      </w:r>
    </w:p>
    <w:p w14:paraId="2DE98CD0">
      <w:pPr>
        <w:pStyle w:val="2"/>
        <w:ind w:firstLine="640"/>
        <w:rPr>
          <w:rFonts w:ascii="仿宋_GB2312" w:hAnsi="仿宋_GB2312" w:eastAsia="仿宋_GB2312" w:cs="仿宋_GB2312"/>
          <w:color w:val="000000"/>
        </w:rPr>
      </w:pPr>
      <w:r>
        <w:rPr>
          <w:rFonts w:hint="eastAsia" w:ascii="仿宋_GB2312" w:hAnsi="仿宋_GB2312" w:eastAsia="仿宋_GB2312" w:cs="仿宋_GB2312"/>
          <w:color w:val="000000"/>
        </w:rPr>
        <w:t>2.建立县内商品鹅保底价收购机制，鼓励和扶持养殖户与屠宰场建立长期稳定的合作关系，确定养殖户养殖效益，实现本地养殖、本地销售、本地屠宰，筑牢鹅产业接二连三关键环节。</w:t>
      </w:r>
    </w:p>
    <w:p w14:paraId="0BC7FA42">
      <w:pPr>
        <w:pStyle w:val="2"/>
        <w:ind w:firstLine="640"/>
        <w:rPr>
          <w:rFonts w:ascii="仿宋_GB2312" w:hAnsi="仿宋_GB2312" w:eastAsia="仿宋_GB2312" w:cs="仿宋_GB2312"/>
          <w:color w:val="000000"/>
        </w:rPr>
      </w:pPr>
      <w:r>
        <w:rPr>
          <w:rFonts w:hint="eastAsia" w:ascii="仿宋_GB2312" w:hAnsi="仿宋_GB2312" w:eastAsia="仿宋_GB2312" w:cs="仿宋_GB2312"/>
          <w:color w:val="000000"/>
        </w:rPr>
        <w:t>3.拓展餐饮食品市场。加强与黔菜学院、省州餐饮协会和知名餐饮品牌等的研发合作，甄选适合锦屏生态鹅特色的深加工鹅肉制品，开发“锦屏味道”鹅食品系列，搭建与武松醉鹅等知名餐饮品牌合作平台，利用“村超</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村BA”流量，拓展网络直播带货、淘宝、京东等线上销售渠道，不断提高锦屏生态鹅的影响力和市场占有率。</w:t>
      </w:r>
    </w:p>
    <w:p w14:paraId="6C0A0B09">
      <w:pPr>
        <w:ind w:firstLine="643" w:firstLineChars="200"/>
        <w:rPr>
          <w:rFonts w:ascii="楷体" w:hAnsi="楷体" w:eastAsia="楷体" w:cs="楷体"/>
          <w:b/>
          <w:bCs/>
          <w:color w:val="000000"/>
          <w:szCs w:val="32"/>
        </w:rPr>
      </w:pPr>
      <w:r>
        <w:rPr>
          <w:rFonts w:hint="eastAsia" w:ascii="楷体" w:hAnsi="楷体" w:eastAsia="楷体" w:cs="楷体"/>
          <w:b/>
          <w:bCs/>
          <w:color w:val="000000"/>
          <w:szCs w:val="32"/>
        </w:rPr>
        <w:t>（五）加强招商</w:t>
      </w:r>
      <w:r>
        <w:rPr>
          <w:rFonts w:ascii="楷体" w:hAnsi="楷体" w:eastAsia="楷体" w:cs="楷体"/>
          <w:b/>
          <w:bCs/>
          <w:color w:val="000000"/>
          <w:szCs w:val="32"/>
        </w:rPr>
        <w:t>引资</w:t>
      </w:r>
      <w:r>
        <w:rPr>
          <w:rFonts w:hint="eastAsia" w:ascii="楷体" w:hAnsi="楷体" w:eastAsia="楷体" w:cs="楷体"/>
          <w:b/>
          <w:bCs/>
          <w:color w:val="000000"/>
          <w:szCs w:val="32"/>
        </w:rPr>
        <w:t>。</w:t>
      </w:r>
    </w:p>
    <w:p w14:paraId="7119E3EA">
      <w:pPr>
        <w:widowControl w:val="0"/>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1.在前期</w:t>
      </w:r>
      <w:r>
        <w:rPr>
          <w:rFonts w:ascii="仿宋_GB2312" w:hAnsi="仿宋_GB2312" w:eastAsia="仿宋_GB2312" w:cs="仿宋_GB2312"/>
          <w:color w:val="000000"/>
          <w:szCs w:val="32"/>
        </w:rPr>
        <w:t>招商引资的基础上，</w:t>
      </w:r>
      <w:r>
        <w:rPr>
          <w:rFonts w:hint="eastAsia" w:ascii="仿宋_GB2312" w:hAnsi="仿宋_GB2312" w:eastAsia="仿宋_GB2312" w:cs="仿宋_GB2312"/>
          <w:color w:val="000000"/>
          <w:szCs w:val="32"/>
        </w:rPr>
        <w:t>继续</w:t>
      </w:r>
      <w:r>
        <w:rPr>
          <w:rFonts w:ascii="仿宋_GB2312" w:hAnsi="仿宋_GB2312" w:eastAsia="仿宋_GB2312" w:cs="仿宋_GB2312"/>
          <w:color w:val="000000"/>
          <w:szCs w:val="32"/>
        </w:rPr>
        <w:t>加强与有意向</w:t>
      </w:r>
      <w:r>
        <w:rPr>
          <w:rFonts w:hint="eastAsia" w:ascii="仿宋_GB2312" w:hAnsi="仿宋_GB2312" w:eastAsia="仿宋_GB2312" w:cs="仿宋_GB2312"/>
          <w:color w:val="000000"/>
          <w:szCs w:val="32"/>
        </w:rPr>
        <w:t>到</w:t>
      </w:r>
      <w:r>
        <w:rPr>
          <w:rFonts w:ascii="仿宋_GB2312" w:hAnsi="仿宋_GB2312" w:eastAsia="仿宋_GB2312" w:cs="仿宋_GB2312"/>
          <w:color w:val="000000"/>
          <w:szCs w:val="32"/>
        </w:rPr>
        <w:t>锦屏投资养殖的相关企业沟通协商</w:t>
      </w:r>
      <w:r>
        <w:rPr>
          <w:rFonts w:hint="eastAsia" w:ascii="仿宋_GB2312" w:hAnsi="仿宋_GB2312" w:eastAsia="仿宋_GB2312" w:cs="仿宋_GB2312"/>
          <w:color w:val="000000"/>
          <w:szCs w:val="32"/>
        </w:rPr>
        <w:t>，巩固</w:t>
      </w:r>
      <w:r>
        <w:rPr>
          <w:rFonts w:ascii="仿宋_GB2312" w:hAnsi="仿宋_GB2312" w:eastAsia="仿宋_GB2312" w:cs="仿宋_GB2312"/>
          <w:color w:val="000000"/>
          <w:szCs w:val="32"/>
        </w:rPr>
        <w:t>前期招商引资成果，争取外部</w:t>
      </w:r>
      <w:r>
        <w:rPr>
          <w:rFonts w:hint="eastAsia" w:ascii="仿宋_GB2312" w:hAnsi="仿宋_GB2312" w:eastAsia="仿宋_GB2312" w:cs="仿宋_GB2312"/>
          <w:color w:val="000000"/>
          <w:szCs w:val="32"/>
          <w:lang w:eastAsia="zh-CN"/>
        </w:rPr>
        <w:t>实力雄厚</w:t>
      </w:r>
      <w:r>
        <w:rPr>
          <w:rFonts w:ascii="仿宋_GB2312" w:hAnsi="仿宋_GB2312" w:eastAsia="仿宋_GB2312" w:cs="仿宋_GB2312"/>
          <w:color w:val="000000"/>
          <w:szCs w:val="32"/>
        </w:rPr>
        <w:t>的企业落户</w:t>
      </w:r>
      <w:r>
        <w:rPr>
          <w:rFonts w:hint="eastAsia" w:ascii="仿宋_GB2312" w:hAnsi="仿宋_GB2312" w:eastAsia="仿宋_GB2312" w:cs="仿宋_GB2312"/>
          <w:color w:val="000000"/>
          <w:szCs w:val="32"/>
        </w:rPr>
        <w:t>我县</w:t>
      </w:r>
      <w:r>
        <w:rPr>
          <w:rFonts w:ascii="仿宋_GB2312" w:hAnsi="仿宋_GB2312" w:eastAsia="仿宋_GB2312" w:cs="仿宋_GB2312"/>
          <w:color w:val="000000"/>
          <w:szCs w:val="32"/>
        </w:rPr>
        <w:t>发展鹅产业。</w:t>
      </w:r>
    </w:p>
    <w:p w14:paraId="6E808854">
      <w:pPr>
        <w:ind w:firstLine="640" w:firstLineChars="200"/>
        <w:rPr>
          <w:rFonts w:ascii="仿宋_GB2312" w:hAnsi="仿宋_GB2312" w:eastAsia="仿宋_GB2312" w:cs="仿宋_GB2312"/>
          <w:color w:val="000000"/>
          <w:szCs w:val="32"/>
        </w:rPr>
      </w:pPr>
      <w:r>
        <w:rPr>
          <w:rFonts w:ascii="仿宋_GB2312" w:hAnsi="仿宋_GB2312" w:eastAsia="仿宋_GB2312" w:cs="仿宋_GB2312"/>
          <w:color w:val="000000"/>
          <w:szCs w:val="32"/>
        </w:rPr>
        <w:t>2.</w:t>
      </w:r>
      <w:r>
        <w:rPr>
          <w:rFonts w:hint="eastAsia" w:ascii="仿宋_GB2312" w:hAnsi="仿宋_GB2312" w:eastAsia="仿宋_GB2312" w:cs="仿宋_GB2312"/>
          <w:color w:val="000000"/>
          <w:szCs w:val="32"/>
        </w:rPr>
        <w:t>结合</w:t>
      </w:r>
      <w:r>
        <w:rPr>
          <w:rFonts w:ascii="仿宋_GB2312" w:hAnsi="仿宋_GB2312" w:eastAsia="仿宋_GB2312" w:cs="仿宋_GB2312"/>
          <w:color w:val="000000"/>
          <w:szCs w:val="32"/>
        </w:rPr>
        <w:t>我县实际及鹅产业发展需要，</w:t>
      </w:r>
      <w:r>
        <w:rPr>
          <w:rFonts w:hint="eastAsia" w:ascii="仿宋_GB2312" w:hAnsi="仿宋_GB2312" w:eastAsia="仿宋_GB2312" w:cs="仿宋_GB2312"/>
          <w:color w:val="000000"/>
          <w:szCs w:val="32"/>
        </w:rPr>
        <w:t>继续</w:t>
      </w:r>
      <w:r>
        <w:rPr>
          <w:rFonts w:ascii="仿宋_GB2312" w:hAnsi="仿宋_GB2312" w:eastAsia="仿宋_GB2312" w:cs="仿宋_GB2312"/>
          <w:color w:val="000000"/>
          <w:szCs w:val="32"/>
        </w:rPr>
        <w:t>外出开展招商引资工作，实地考察企业规模</w:t>
      </w:r>
      <w:r>
        <w:rPr>
          <w:rFonts w:hint="eastAsia" w:ascii="仿宋_GB2312" w:hAnsi="仿宋_GB2312" w:eastAsia="仿宋_GB2312" w:cs="仿宋_GB2312"/>
          <w:color w:val="000000"/>
          <w:szCs w:val="32"/>
        </w:rPr>
        <w:t>情况</w:t>
      </w:r>
      <w:r>
        <w:rPr>
          <w:rFonts w:ascii="仿宋_GB2312" w:hAnsi="仿宋_GB2312" w:eastAsia="仿宋_GB2312" w:cs="仿宋_GB2312"/>
          <w:color w:val="000000"/>
          <w:szCs w:val="32"/>
        </w:rPr>
        <w:t>、实力情况，</w:t>
      </w:r>
      <w:r>
        <w:rPr>
          <w:rFonts w:hint="eastAsia" w:ascii="仿宋_GB2312" w:hAnsi="仿宋_GB2312" w:eastAsia="仿宋_GB2312" w:cs="仿宋_GB2312"/>
          <w:color w:val="000000"/>
          <w:szCs w:val="32"/>
        </w:rPr>
        <w:t>争取</w:t>
      </w:r>
      <w:r>
        <w:rPr>
          <w:rFonts w:ascii="仿宋_GB2312" w:hAnsi="仿宋_GB2312" w:eastAsia="仿宋_GB2312" w:cs="仿宋_GB2312"/>
          <w:color w:val="000000"/>
          <w:szCs w:val="32"/>
        </w:rPr>
        <w:t>引入外部</w:t>
      </w:r>
      <w:r>
        <w:rPr>
          <w:rFonts w:hint="eastAsia" w:ascii="仿宋_GB2312" w:hAnsi="仿宋_GB2312" w:eastAsia="仿宋_GB2312" w:cs="仿宋_GB2312"/>
          <w:color w:val="000000"/>
          <w:szCs w:val="32"/>
        </w:rPr>
        <w:t>龙头企业</w:t>
      </w:r>
      <w:r>
        <w:rPr>
          <w:rFonts w:ascii="仿宋_GB2312" w:hAnsi="仿宋_GB2312" w:eastAsia="仿宋_GB2312" w:cs="仿宋_GB2312"/>
          <w:color w:val="000000"/>
          <w:szCs w:val="32"/>
        </w:rPr>
        <w:t>带动我县鹅产业实现规模化发展。</w:t>
      </w:r>
    </w:p>
    <w:p w14:paraId="1FBA2A3A">
      <w:pPr>
        <w:ind w:firstLine="640" w:firstLineChars="200"/>
        <w:rPr>
          <w:rFonts w:ascii="仿宋_GB2312" w:hAnsi="仿宋_GB2312" w:eastAsia="仿宋_GB2312" w:cs="仿宋_GB2312"/>
          <w:color w:val="000000"/>
          <w:szCs w:val="32"/>
        </w:rPr>
      </w:pPr>
      <w:r>
        <w:rPr>
          <w:rFonts w:ascii="仿宋_GB2312" w:hAnsi="仿宋_GB2312" w:eastAsia="仿宋_GB2312" w:cs="仿宋_GB2312"/>
          <w:color w:val="000000"/>
          <w:szCs w:val="32"/>
        </w:rPr>
        <w:t>3</w:t>
      </w:r>
      <w:r>
        <w:rPr>
          <w:rFonts w:hint="eastAsia" w:ascii="仿宋_GB2312" w:hAnsi="仿宋_GB2312" w:eastAsia="仿宋_GB2312" w:cs="仿宋_GB2312"/>
          <w:color w:val="000000"/>
          <w:szCs w:val="32"/>
        </w:rPr>
        <w:t>.借助省州驻点招商小组、中央定点帮扶单位等力量，发挥恒旺食品有限公司、锦睿食品有限公司等在锦企业“以商招商”优势实施精准招商。2025年重点引进种鹅养殖孵化项目1个、商品鹅规模养殖项目1个，引进羽毛分拣加工项目1个落户锦屏，不断夯实产业基础，延伸产业链，提升产业整体效益。</w:t>
      </w:r>
    </w:p>
    <w:p w14:paraId="1208A60C">
      <w:pPr>
        <w:pStyle w:val="2"/>
        <w:ind w:firstLine="643"/>
        <w:rPr>
          <w:rFonts w:ascii="楷体" w:hAnsi="楷体" w:eastAsia="楷体" w:cs="楷体"/>
          <w:b/>
          <w:bCs/>
          <w:color w:val="000000"/>
        </w:rPr>
      </w:pPr>
      <w:r>
        <w:rPr>
          <w:rFonts w:hint="eastAsia" w:ascii="楷体" w:hAnsi="楷体" w:eastAsia="楷体" w:cs="楷体"/>
          <w:b/>
          <w:bCs/>
          <w:color w:val="000000"/>
        </w:rPr>
        <w:t>（六）加强品牌培育。</w:t>
      </w:r>
    </w:p>
    <w:p w14:paraId="2D1D7AC9">
      <w:pPr>
        <w:pStyle w:val="2"/>
        <w:ind w:firstLine="640"/>
        <w:rPr>
          <w:rFonts w:ascii="仿宋_GB2312" w:hAnsi="仿宋_GB2312" w:eastAsia="仿宋_GB2312" w:cs="仿宋_GB2312"/>
          <w:color w:val="000000"/>
        </w:rPr>
      </w:pPr>
      <w:r>
        <w:rPr>
          <w:rFonts w:hint="eastAsia" w:ascii="仿宋_GB2312" w:hAnsi="仿宋_GB2312" w:eastAsia="仿宋_GB2312" w:cs="仿宋_GB2312"/>
          <w:color w:val="000000"/>
        </w:rPr>
        <w:t>1.打造锦屏生态鹅区域公共品牌，加快无公害、绿色、有机农产品培育力度和认证，启动锦屏生态鹅品牌标准制定、宣传和评选工作。</w:t>
      </w:r>
    </w:p>
    <w:p w14:paraId="4A97F9B6">
      <w:pPr>
        <w:pStyle w:val="2"/>
        <w:ind w:firstLine="640"/>
        <w:rPr>
          <w:rFonts w:ascii="仿宋_GB2312" w:hAnsi="仿宋_GB2312" w:eastAsia="仿宋_GB2312" w:cs="仿宋_GB2312"/>
          <w:color w:val="000000"/>
        </w:rPr>
      </w:pPr>
      <w:r>
        <w:rPr>
          <w:rFonts w:hint="eastAsia" w:ascii="仿宋_GB2312" w:hAnsi="仿宋_GB2312" w:eastAsia="仿宋_GB2312" w:cs="仿宋_GB2312"/>
          <w:color w:val="000000"/>
        </w:rPr>
        <w:t>2.打造锦屏鹅文化艺术节IP。每年举办一届锦屏生态鹅文化艺术节，办成集鹅美食、鹅王选拔、文艺演出、鹅制品展销、鹅游艺活动、鹅产业高峰论坛等的综合文化艺术活动，打造成为国内知名鹅文化艺术节IP。</w:t>
      </w:r>
    </w:p>
    <w:p w14:paraId="4E698B01">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以锦屏经开区农特产业加工区为依托，优化屠宰、鹅肉制品加工、饲料加工、羽绒加工等功能布局，打造锦屏生态鹅产业园，加大对贵鹅食品有限公司和恒旺食品有限公司、锦睿食品有限公司等加工企业扶持培育力度，启动预制菜加工二期项目建设进度，力争实现鹅肉食品加工占企业总产值一半以上。</w:t>
      </w:r>
    </w:p>
    <w:p w14:paraId="15B9BBD4">
      <w:pPr>
        <w:ind w:firstLine="640" w:firstLineChars="200"/>
        <w:rPr>
          <w:rFonts w:ascii="黑体" w:hAnsi="黑体" w:eastAsia="黑体" w:cs="黑体"/>
          <w:color w:val="000000"/>
          <w:szCs w:val="32"/>
        </w:rPr>
      </w:pPr>
      <w:r>
        <w:rPr>
          <w:rFonts w:hint="eastAsia" w:ascii="黑体" w:hAnsi="黑体" w:eastAsia="黑体" w:cs="黑体"/>
          <w:color w:val="000000"/>
          <w:szCs w:val="32"/>
        </w:rPr>
        <w:t>四、加大要素保障力度</w:t>
      </w:r>
    </w:p>
    <w:p w14:paraId="478D7C71">
      <w:pPr>
        <w:ind w:firstLine="643" w:firstLineChars="200"/>
        <w:rPr>
          <w:rFonts w:ascii="仿宋_GB2312" w:hAnsi="仿宋_GB2312" w:eastAsia="仿宋_GB2312" w:cs="仿宋_GB2312"/>
          <w:color w:val="000000"/>
          <w:szCs w:val="32"/>
        </w:rPr>
      </w:pPr>
      <w:r>
        <w:rPr>
          <w:rFonts w:hint="eastAsia" w:ascii="楷体" w:hAnsi="楷体" w:eastAsia="楷体" w:cs="楷体"/>
          <w:b/>
          <w:bCs/>
          <w:color w:val="000000"/>
          <w:szCs w:val="32"/>
        </w:rPr>
        <w:t>（一）创新金融服务。</w:t>
      </w:r>
      <w:r>
        <w:rPr>
          <w:rFonts w:hint="eastAsia" w:ascii="仿宋_GB2312" w:hAnsi="仿宋_GB2312" w:eastAsia="仿宋_GB2312" w:cs="仿宋_GB2312"/>
          <w:color w:val="000000"/>
          <w:szCs w:val="32"/>
        </w:rPr>
        <w:t>加强与银行业等金融机构紧密合作，建立锦屏县鹅产业发展专项基金，专项用于县域内各类市场主体在鹅养殖、加工、技术研发等关键环节的融资贷款、贴息等金融支持，切实降低市场主体融资成本和资金压力；鼓励银行业等金融机构大胆探索创新，推出契合鹅全产业链发展的特色金融产品，重点扶持标准化规模生产、家庭农场、产品加工、市场建设、饲料和有机肥生产等领域。</w:t>
      </w:r>
    </w:p>
    <w:p w14:paraId="403CBE79">
      <w:pPr>
        <w:pStyle w:val="2"/>
        <w:ind w:firstLine="643"/>
        <w:rPr>
          <w:rFonts w:ascii="仿宋_GB2312" w:hAnsi="仿宋_GB2312" w:eastAsia="仿宋_GB2312" w:cs="仿宋_GB2312"/>
          <w:color w:val="000000"/>
        </w:rPr>
      </w:pPr>
      <w:r>
        <w:rPr>
          <w:rFonts w:hint="eastAsia" w:ascii="楷体" w:hAnsi="楷体" w:eastAsia="楷体" w:cs="楷体"/>
          <w:b/>
          <w:bCs/>
          <w:color w:val="000000"/>
        </w:rPr>
        <w:t>（二）加大资金投入。</w:t>
      </w:r>
      <w:r>
        <w:rPr>
          <w:rFonts w:hint="eastAsia" w:ascii="仿宋_GB2312" w:hAnsi="仿宋_GB2312" w:eastAsia="仿宋_GB2312" w:cs="仿宋_GB2312"/>
          <w:color w:val="000000"/>
        </w:rPr>
        <w:t>整合各类涉及资金、帮扶资金重点用于扶持鹅养殖业发展，确保每年乡村振兴衔接资金用于支持鹅产业发展的资金比例不低于10%。重点加大对各类市场主体养殖基础设施投入、回收销售、技术服务等关键环节的支持力度。鼓励规模化养殖，对达到一定养殖规模的市场主体根据养殖出栏数量给予奖励扶持。</w:t>
      </w:r>
    </w:p>
    <w:p w14:paraId="1B465B22">
      <w:pPr>
        <w:ind w:firstLine="643" w:firstLineChars="200"/>
        <w:rPr>
          <w:rFonts w:ascii="仿宋_GB2312" w:hAnsi="仿宋_GB2312" w:eastAsia="仿宋_GB2312" w:cs="仿宋_GB2312"/>
          <w:color w:val="000000"/>
          <w:szCs w:val="32"/>
        </w:rPr>
      </w:pPr>
      <w:r>
        <w:rPr>
          <w:rFonts w:hint="eastAsia" w:ascii="楷体" w:hAnsi="楷体" w:eastAsia="楷体" w:cs="楷体"/>
          <w:b/>
          <w:bCs/>
          <w:color w:val="000000"/>
          <w:szCs w:val="32"/>
        </w:rPr>
        <w:t>（三）完善保险机制。</w:t>
      </w:r>
      <w:r>
        <w:rPr>
          <w:rFonts w:hint="eastAsia" w:ascii="仿宋_GB2312" w:hAnsi="仿宋_GB2312" w:eastAsia="仿宋_GB2312" w:cs="仿宋_GB2312"/>
          <w:color w:val="000000"/>
          <w:szCs w:val="32"/>
        </w:rPr>
        <w:t>按照“以市场为导向、利益共享、风险共担</w:t>
      </w:r>
      <w:r>
        <w:rPr>
          <w:rFonts w:hint="eastAsia" w:ascii="仿宋_GB2312" w:hAnsi="仿宋_GB2312" w:eastAsia="仿宋_GB2312" w:cs="仿宋_GB2312"/>
          <w:color w:val="000000"/>
          <w:szCs w:val="32"/>
          <w:lang w:eastAsia="zh-CN"/>
        </w:rPr>
        <w:t>、可</w:t>
      </w:r>
      <w:r>
        <w:rPr>
          <w:rFonts w:hint="eastAsia" w:ascii="仿宋_GB2312" w:hAnsi="仿宋_GB2312" w:eastAsia="仿宋_GB2312" w:cs="仿宋_GB2312"/>
          <w:color w:val="000000"/>
          <w:szCs w:val="32"/>
        </w:rPr>
        <w:t>持续发展”的原则，建立政府引导、企业主体和养殖户参与的保险制度，完善锦屏鹅养殖保险机制，建立商品鹅市场价格保险机制，引导各类养殖主体主动参与养殖保险和价格指数保险，增强产业抗风险能力，促进产业健康稳步发展。</w:t>
      </w:r>
    </w:p>
    <w:p w14:paraId="6AA0C1D6">
      <w:pPr>
        <w:ind w:firstLine="643" w:firstLineChars="200"/>
        <w:rPr>
          <w:rFonts w:ascii="仿宋_GB2312" w:hAnsi="仿宋_GB2312" w:cs="仿宋_GB2312"/>
          <w:color w:val="000000"/>
          <w:szCs w:val="32"/>
        </w:rPr>
      </w:pPr>
      <w:r>
        <w:rPr>
          <w:rFonts w:hint="eastAsia" w:ascii="楷体" w:hAnsi="楷体" w:eastAsia="楷体" w:cs="楷体"/>
          <w:b/>
          <w:bCs/>
          <w:color w:val="000000"/>
          <w:szCs w:val="32"/>
        </w:rPr>
        <w:t>（四）做好技术服务。</w:t>
      </w:r>
      <w:r>
        <w:rPr>
          <w:rFonts w:hint="eastAsia" w:ascii="仿宋_GB2312" w:hAnsi="仿宋_GB2312" w:eastAsia="仿宋_GB2312" w:cs="仿宋_GB2312"/>
          <w:color w:val="000000"/>
          <w:szCs w:val="32"/>
        </w:rPr>
        <w:t>采取政府购买社会化服务方式，加强与技术服务第三方服务机构合作，承接全县养殖技术服务指导、培育地方乡土人才和提高养殖大户生产实践技能及水平。组建县乡村三级技术服务团队，做好专业技术人才的引进和培养，广泛吸纳具备专业技术学历水平、民间土专家、养殖大户等人才组建县乡村三级专业技术服务团队。扎实开展养殖技术培训按照“理论学习+现场观摩+实践养殖”三位一体的养殖技术培训模式，鼓励养殖户“持证入行”，全年共举办养殖技术培训4期以上，每期培训人数50人以上，实现全县养殖大户全员培训，稳定提高养殖技术水平。</w:t>
      </w:r>
    </w:p>
    <w:p w14:paraId="7146C7AB">
      <w:pPr>
        <w:ind w:firstLine="643" w:firstLineChars="200"/>
        <w:rPr>
          <w:rFonts w:ascii="仿宋_GB2312" w:hAnsi="仿宋_GB2312" w:eastAsia="仿宋_GB2312" w:cs="仿宋_GB2312"/>
          <w:color w:val="000000"/>
          <w:szCs w:val="32"/>
        </w:rPr>
      </w:pPr>
      <w:r>
        <w:rPr>
          <w:rFonts w:hint="eastAsia" w:ascii="楷体" w:hAnsi="楷体" w:eastAsia="楷体" w:cs="楷体"/>
          <w:b/>
          <w:bCs/>
          <w:color w:val="000000"/>
          <w:szCs w:val="32"/>
        </w:rPr>
        <w:t>（五）强化用地保障。</w:t>
      </w:r>
      <w:r>
        <w:rPr>
          <w:rFonts w:hint="eastAsia" w:ascii="仿宋_GB2312" w:hAnsi="仿宋_GB2312" w:eastAsia="仿宋_GB2312" w:cs="仿宋_GB2312"/>
          <w:color w:val="000000"/>
          <w:szCs w:val="32"/>
        </w:rPr>
        <w:t>县自然资源、林业等部门依法依规为鹅产业发展保驾护航，严守环保、耕地保护、公益林等红线，充分挖掘全县适宜养殖的林地、天然草场、水域流域等资源潜力，合理预留用地空间，重点保障鹅产业发展用地需求。</w:t>
      </w:r>
    </w:p>
    <w:p w14:paraId="44FAB04D">
      <w:pPr>
        <w:pStyle w:val="4"/>
        <w:spacing w:after="0"/>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五、加强组织领导</w:t>
      </w:r>
    </w:p>
    <w:p w14:paraId="3AF73245">
      <w:pPr>
        <w:pStyle w:val="21"/>
        <w:ind w:left="0" w:leftChars="0" w:firstLine="643" w:firstLineChars="200"/>
        <w:rPr>
          <w:rFonts w:ascii="仿宋_GB2312" w:hAnsi="仿宋_GB2312" w:eastAsia="仿宋_GB2312" w:cs="仿宋_GB2312"/>
          <w:color w:val="000000"/>
          <w:szCs w:val="32"/>
        </w:rPr>
      </w:pPr>
      <w:r>
        <w:rPr>
          <w:rFonts w:hint="eastAsia" w:ascii="楷体_GB2312" w:hAnsi="楷体_GB2312" w:eastAsia="楷体_GB2312" w:cs="楷体_GB2312"/>
          <w:b/>
          <w:bCs/>
          <w:color w:val="000000"/>
          <w:szCs w:val="32"/>
        </w:rPr>
        <w:t>（一）加强组织领导。</w:t>
      </w:r>
      <w:r>
        <w:rPr>
          <w:rFonts w:hint="eastAsia" w:ascii="仿宋_GB2312" w:hAnsi="仿宋_GB2312" w:eastAsia="仿宋_GB2312" w:cs="仿宋_GB2312"/>
          <w:color w:val="000000"/>
          <w:szCs w:val="32"/>
        </w:rPr>
        <w:t>成立锦屏县生态鹅产业发展领导小组，加强生态鹅产业专班力量。研究制定促进鹅产业发展相关政策和产业发展规划，全面做好产业发展工作。各乡镇及部门要把鹅产业作为“抓三农”的一项重要工作，强化组织领导，健全工作机制，明确责任分工和目标任务，构建党委</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政府主导，企业和群众为主体，“县、乡、村”三级工作体系。</w:t>
      </w:r>
    </w:p>
    <w:p w14:paraId="237E2DC5">
      <w:pPr>
        <w:ind w:firstLine="643" w:firstLineChars="200"/>
        <w:rPr>
          <w:rFonts w:ascii="仿宋_GB2312" w:hAnsi="仿宋_GB2312" w:eastAsia="仿宋_GB2312" w:cs="仿宋_GB2312"/>
          <w:color w:val="000000"/>
          <w:szCs w:val="32"/>
        </w:rPr>
      </w:pPr>
      <w:r>
        <w:rPr>
          <w:rFonts w:hint="eastAsia" w:ascii="楷体_GB2312" w:hAnsi="楷体_GB2312" w:eastAsia="楷体_GB2312" w:cs="楷体_GB2312"/>
          <w:b/>
          <w:bCs/>
          <w:color w:val="000000"/>
          <w:szCs w:val="32"/>
        </w:rPr>
        <w:t>（二）成立专职机构。</w:t>
      </w:r>
      <w:r>
        <w:rPr>
          <w:rFonts w:hint="eastAsia" w:ascii="仿宋_GB2312" w:hAnsi="仿宋_GB2312" w:eastAsia="仿宋_GB2312" w:cs="仿宋_GB2312"/>
          <w:color w:val="000000"/>
          <w:szCs w:val="32"/>
        </w:rPr>
        <w:t>根据产业发展需求，设立锦屏县鹅产业发展服务</w:t>
      </w:r>
      <w:r>
        <w:rPr>
          <w:rFonts w:ascii="仿宋_GB2312" w:hAnsi="仿宋_GB2312" w:eastAsia="仿宋_GB2312" w:cs="仿宋_GB2312"/>
          <w:color w:val="000000"/>
          <w:szCs w:val="32"/>
        </w:rPr>
        <w:t>中心</w:t>
      </w:r>
      <w:r>
        <w:rPr>
          <w:rFonts w:hint="eastAsia" w:ascii="仿宋_GB2312" w:hAnsi="仿宋_GB2312" w:eastAsia="仿宋_GB2312" w:cs="仿宋_GB2312"/>
          <w:color w:val="000000"/>
          <w:szCs w:val="32"/>
        </w:rPr>
        <w:t>，隶属于农业农村局、独立核算的副科级事业单位，全面负责全县鹅产业发展工作，具体负责鹅产业规划、项目申报实施、技术培训服务等系列工作，形成</w:t>
      </w:r>
      <w:r>
        <w:rPr>
          <w:rFonts w:hint="eastAsia" w:ascii="仿宋_GB2312" w:hAnsi="仿宋_GB2312" w:eastAsia="仿宋_GB2312" w:cs="仿宋_GB2312"/>
          <w:color w:val="000000"/>
          <w:szCs w:val="32"/>
          <w:lang w:eastAsia="zh-CN"/>
        </w:rPr>
        <w:t>县委、县政府</w:t>
      </w:r>
      <w:r>
        <w:rPr>
          <w:rFonts w:hint="eastAsia" w:ascii="仿宋_GB2312" w:hAnsi="仿宋_GB2312" w:eastAsia="仿宋_GB2312" w:cs="仿宋_GB2312"/>
          <w:color w:val="000000"/>
          <w:szCs w:val="32"/>
        </w:rPr>
        <w:t>主导，鹅产业发展服务中心主抓的工作格局，实现鹅产业的快速发展。</w:t>
      </w:r>
    </w:p>
    <w:p w14:paraId="6A5D73D1">
      <w:pPr>
        <w:pStyle w:val="21"/>
        <w:ind w:left="0" w:leftChars="0" w:firstLine="643" w:firstLineChars="200"/>
        <w:rPr>
          <w:rFonts w:ascii="仿宋_GB2312" w:hAnsi="仿宋_GB2312" w:eastAsia="仿宋_GB2312" w:cs="仿宋_GB2312"/>
          <w:color w:val="000000"/>
          <w:szCs w:val="32"/>
        </w:rPr>
      </w:pPr>
      <w:r>
        <w:rPr>
          <w:rFonts w:hint="eastAsia" w:ascii="楷体_GB2312" w:hAnsi="楷体_GB2312" w:eastAsia="楷体_GB2312" w:cs="楷体_GB2312"/>
          <w:b/>
          <w:bCs/>
          <w:color w:val="000000"/>
          <w:szCs w:val="32"/>
        </w:rPr>
        <w:t>（三）建立联席会议制度。</w:t>
      </w:r>
      <w:r>
        <w:rPr>
          <w:rFonts w:hint="eastAsia" w:ascii="仿宋_GB2312" w:hAnsi="仿宋_GB2312" w:eastAsia="仿宋_GB2312" w:cs="仿宋_GB2312"/>
          <w:color w:val="000000"/>
          <w:szCs w:val="32"/>
        </w:rPr>
        <w:t>以问题为导向，原则上每月召开一次鹅产业发展联席会议，及时研究产业发展目标、统筹资金资源、解决发展瓶颈、通报工作进度等，形成思想统一、资源集中、执行有力、落地有效的产业发展氛围。对鹅产业发展情况定期通报，成绩突出的先进典型进行表扬，工作滞后、造成不良后果的予以通报批评并责成限期整改。</w:t>
      </w:r>
    </w:p>
    <w:p w14:paraId="4FA7EA23">
      <w:pPr>
        <w:ind w:firstLine="643" w:firstLineChars="200"/>
        <w:rPr>
          <w:rFonts w:ascii="仿宋_GB2312" w:hAnsi="仿宋_GB2312" w:eastAsia="仿宋_GB2312" w:cs="仿宋_GB2312"/>
          <w:color w:val="000000"/>
          <w:szCs w:val="32"/>
        </w:rPr>
      </w:pPr>
      <w:r>
        <w:rPr>
          <w:rFonts w:hint="eastAsia" w:ascii="楷体_GB2312" w:hAnsi="楷体_GB2312" w:eastAsia="楷体_GB2312" w:cs="楷体_GB2312"/>
          <w:b/>
          <w:bCs/>
          <w:color w:val="000000"/>
          <w:szCs w:val="32"/>
        </w:rPr>
        <w:t>（四）加强宣传引导。</w:t>
      </w:r>
      <w:r>
        <w:rPr>
          <w:rFonts w:hint="eastAsia" w:ascii="仿宋_GB2312" w:hAnsi="仿宋_GB2312" w:eastAsia="仿宋_GB2312" w:cs="仿宋_GB2312"/>
          <w:color w:val="000000"/>
          <w:szCs w:val="32"/>
        </w:rPr>
        <w:t>大力宣传鹅产业高质量发展的重要意义，努力营造良好舆论氛围。推介鹅品牌产品、鹅文化体育产品，总结和宣传鹅全产业链模范人物、先进经验和成功典型，促进鹅全产业链高质量发展。</w:t>
      </w:r>
    </w:p>
    <w:p w14:paraId="6161C369">
      <w:pPr>
        <w:spacing w:line="560" w:lineRule="exact"/>
        <w:ind w:firstLine="640" w:firstLineChars="200"/>
        <w:rPr>
          <w:color w:val="000000"/>
        </w:rPr>
      </w:pPr>
    </w:p>
    <w:p w14:paraId="6F646D07">
      <w:pPr>
        <w:spacing w:line="560" w:lineRule="exact"/>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附件</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锦屏县2025年商品鹅养殖任务计划表</w:t>
      </w:r>
    </w:p>
    <w:p w14:paraId="7BE0C2D6">
      <w:pPr>
        <w:pStyle w:val="4"/>
        <w:ind w:left="640" w:firstLine="0" w:firstLineChars="0"/>
        <w:rPr>
          <w:rFonts w:ascii="仿宋_GB2312" w:hAnsi="仿宋_GB2312" w:eastAsia="仿宋_GB2312" w:cs="仿宋_GB2312"/>
          <w:color w:val="000000"/>
          <w:sz w:val="32"/>
          <w:szCs w:val="32"/>
        </w:rPr>
      </w:pPr>
    </w:p>
    <w:p w14:paraId="55A46419">
      <w:pPr>
        <w:rPr>
          <w:color w:val="000000"/>
        </w:rPr>
      </w:pPr>
    </w:p>
    <w:p w14:paraId="0804A3C0">
      <w:pPr>
        <w:pStyle w:val="2"/>
        <w:ind w:firstLine="0" w:firstLineChars="0"/>
        <w:rPr>
          <w:rFonts w:eastAsia="仿宋"/>
          <w:color w:val="000000"/>
        </w:rPr>
      </w:pPr>
    </w:p>
    <w:p w14:paraId="6D50E604">
      <w:pPr>
        <w:pStyle w:val="4"/>
        <w:ind w:firstLine="210"/>
        <w:rPr>
          <w:color w:val="000000"/>
        </w:rPr>
      </w:pPr>
    </w:p>
    <w:p w14:paraId="31AF2F11">
      <w:pPr>
        <w:rPr>
          <w:color w:val="000000"/>
        </w:rPr>
      </w:pPr>
    </w:p>
    <w:p w14:paraId="7C874CDD">
      <w:pPr>
        <w:pStyle w:val="2"/>
        <w:ind w:firstLine="640"/>
        <w:rPr>
          <w:rFonts w:eastAsiaTheme="minorEastAsia"/>
        </w:rPr>
      </w:pPr>
    </w:p>
    <w:p w14:paraId="7D373EC0">
      <w:pPr>
        <w:pStyle w:val="4"/>
        <w:ind w:firstLine="210"/>
      </w:pPr>
    </w:p>
    <w:p w14:paraId="22F25A53">
      <w:pPr>
        <w:pStyle w:val="2"/>
        <w:ind w:firstLine="640"/>
        <w:rPr>
          <w:rFonts w:eastAsia="仿宋"/>
          <w:color w:val="000000"/>
        </w:rPr>
      </w:pPr>
    </w:p>
    <w:p w14:paraId="4E78125D">
      <w:pPr>
        <w:pStyle w:val="4"/>
        <w:ind w:left="640" w:firstLine="210"/>
        <w:rPr>
          <w:color w:val="000000"/>
        </w:rPr>
      </w:pPr>
    </w:p>
    <w:p w14:paraId="5D8F2ED8">
      <w:pPr>
        <w:pStyle w:val="2"/>
        <w:ind w:firstLine="0" w:firstLineChars="0"/>
        <w:rPr>
          <w:color w:val="000000"/>
        </w:rPr>
      </w:pPr>
      <w:r>
        <w:rPr>
          <w:rFonts w:hint="eastAsia" w:ascii="仿宋" w:hAnsi="仿宋" w:eastAsia="仿宋" w:cs="仿宋"/>
          <w:color w:val="000000"/>
        </w:rPr>
        <w:t>附件</w:t>
      </w:r>
      <w:r>
        <w:rPr>
          <w:rFonts w:ascii="仿宋" w:hAnsi="仿宋" w:eastAsia="仿宋" w:cs="仿宋"/>
          <w:color w:val="000000"/>
        </w:rPr>
        <w:t>：</w:t>
      </w:r>
    </w:p>
    <w:tbl>
      <w:tblPr>
        <w:tblStyle w:val="14"/>
        <w:tblW w:w="9155" w:type="dxa"/>
        <w:tblInd w:w="0" w:type="dxa"/>
        <w:tblLayout w:type="fixed"/>
        <w:tblCellMar>
          <w:top w:w="0" w:type="dxa"/>
          <w:left w:w="108" w:type="dxa"/>
          <w:bottom w:w="0" w:type="dxa"/>
          <w:right w:w="108" w:type="dxa"/>
        </w:tblCellMar>
      </w:tblPr>
      <w:tblGrid>
        <w:gridCol w:w="587"/>
        <w:gridCol w:w="1823"/>
        <w:gridCol w:w="1625"/>
        <w:gridCol w:w="1347"/>
        <w:gridCol w:w="1347"/>
        <w:gridCol w:w="1703"/>
        <w:gridCol w:w="723"/>
      </w:tblGrid>
      <w:tr w14:paraId="27F8E1A0">
        <w:tblPrEx>
          <w:tblCellMar>
            <w:top w:w="0" w:type="dxa"/>
            <w:left w:w="108" w:type="dxa"/>
            <w:bottom w:w="0" w:type="dxa"/>
            <w:right w:w="108" w:type="dxa"/>
          </w:tblCellMar>
        </w:tblPrEx>
        <w:trPr>
          <w:trHeight w:val="751" w:hRule="atLeast"/>
        </w:trPr>
        <w:tc>
          <w:tcPr>
            <w:tcW w:w="9155" w:type="dxa"/>
            <w:gridSpan w:val="7"/>
            <w:tcBorders>
              <w:top w:val="nil"/>
              <w:left w:val="nil"/>
              <w:bottom w:val="nil"/>
              <w:right w:val="nil"/>
            </w:tcBorders>
            <w:noWrap/>
            <w:vAlign w:val="center"/>
          </w:tcPr>
          <w:p w14:paraId="24DBA623">
            <w:pPr>
              <w:spacing w:line="520" w:lineRule="exact"/>
              <w:jc w:val="center"/>
              <w:rPr>
                <w:rFonts w:ascii="方正小标宋简体" w:hAnsi="宋体" w:eastAsia="方正小标宋简体" w:cs="宋体"/>
                <w:color w:val="000000"/>
                <w:kern w:val="0"/>
                <w:sz w:val="52"/>
                <w:szCs w:val="52"/>
              </w:rPr>
            </w:pPr>
            <w:r>
              <w:rPr>
                <w:rFonts w:hint="eastAsia" w:ascii="方正小标宋简体" w:hAnsi="宋体" w:eastAsia="方正小标宋简体" w:cs="宋体"/>
                <w:color w:val="000000"/>
                <w:kern w:val="0"/>
                <w:sz w:val="40"/>
                <w:szCs w:val="52"/>
              </w:rPr>
              <w:t>锦屏县2025年商品鹅养殖任务计划表</w:t>
            </w:r>
          </w:p>
        </w:tc>
      </w:tr>
      <w:tr w14:paraId="0F1894EF">
        <w:tblPrEx>
          <w:tblCellMar>
            <w:top w:w="0" w:type="dxa"/>
            <w:left w:w="108" w:type="dxa"/>
            <w:bottom w:w="0" w:type="dxa"/>
            <w:right w:w="108" w:type="dxa"/>
          </w:tblCellMar>
        </w:tblPrEx>
        <w:trPr>
          <w:trHeight w:val="703" w:hRule="atLeast"/>
        </w:trPr>
        <w:tc>
          <w:tcPr>
            <w:tcW w:w="587" w:type="dxa"/>
            <w:tcBorders>
              <w:top w:val="single" w:color="auto" w:sz="4" w:space="0"/>
              <w:left w:val="single" w:color="auto" w:sz="4" w:space="0"/>
              <w:bottom w:val="single" w:color="auto" w:sz="4" w:space="0"/>
              <w:right w:val="single" w:color="auto" w:sz="4" w:space="0"/>
            </w:tcBorders>
            <w:noWrap/>
            <w:vAlign w:val="center"/>
          </w:tcPr>
          <w:p w14:paraId="34158B8B">
            <w:pPr>
              <w:spacing w:line="300" w:lineRule="exact"/>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823" w:type="dxa"/>
            <w:tcBorders>
              <w:top w:val="single" w:color="auto" w:sz="4" w:space="0"/>
              <w:left w:val="nil"/>
              <w:bottom w:val="single" w:color="auto" w:sz="4" w:space="0"/>
              <w:right w:val="single" w:color="auto" w:sz="4" w:space="0"/>
            </w:tcBorders>
            <w:noWrap/>
            <w:vAlign w:val="center"/>
          </w:tcPr>
          <w:p w14:paraId="27B2BB83">
            <w:pPr>
              <w:spacing w:line="300" w:lineRule="exact"/>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1625" w:type="dxa"/>
            <w:tcBorders>
              <w:top w:val="single" w:color="auto" w:sz="4" w:space="0"/>
              <w:left w:val="nil"/>
              <w:bottom w:val="single" w:color="auto" w:sz="4" w:space="0"/>
              <w:right w:val="single" w:color="auto" w:sz="4" w:space="0"/>
            </w:tcBorders>
            <w:vAlign w:val="center"/>
          </w:tcPr>
          <w:p w14:paraId="374FC995">
            <w:pPr>
              <w:spacing w:line="300" w:lineRule="exact"/>
              <w:jc w:val="center"/>
              <w:rPr>
                <w:rFonts w:ascii="宋体" w:hAnsi="宋体" w:cs="宋体"/>
                <w:b/>
                <w:bCs/>
                <w:color w:val="000000"/>
                <w:kern w:val="0"/>
                <w:sz w:val="22"/>
              </w:rPr>
            </w:pPr>
            <w:r>
              <w:rPr>
                <w:rFonts w:hint="eastAsia" w:ascii="宋体" w:hAnsi="宋体" w:cs="宋体"/>
                <w:b/>
                <w:bCs/>
                <w:color w:val="000000"/>
                <w:kern w:val="0"/>
                <w:sz w:val="22"/>
              </w:rPr>
              <w:t>单批次养殖量</w:t>
            </w:r>
            <w:r>
              <w:rPr>
                <w:rFonts w:hint="eastAsia" w:ascii="宋体" w:hAnsi="宋体" w:cs="宋体"/>
                <w:b/>
                <w:bCs/>
                <w:color w:val="000000"/>
                <w:kern w:val="0"/>
                <w:sz w:val="22"/>
              </w:rPr>
              <w:br w:type="textWrapping"/>
            </w:r>
            <w:r>
              <w:rPr>
                <w:rFonts w:hint="eastAsia" w:ascii="宋体" w:hAnsi="宋体" w:cs="宋体"/>
                <w:b/>
                <w:bCs/>
                <w:color w:val="000000"/>
                <w:kern w:val="0"/>
                <w:sz w:val="22"/>
              </w:rPr>
              <w:t>（万羽）</w:t>
            </w:r>
          </w:p>
        </w:tc>
        <w:tc>
          <w:tcPr>
            <w:tcW w:w="1347" w:type="dxa"/>
            <w:tcBorders>
              <w:top w:val="single" w:color="auto" w:sz="4" w:space="0"/>
              <w:left w:val="nil"/>
              <w:bottom w:val="single" w:color="auto" w:sz="4" w:space="0"/>
              <w:right w:val="single" w:color="auto" w:sz="4" w:space="0"/>
            </w:tcBorders>
            <w:vAlign w:val="center"/>
          </w:tcPr>
          <w:p w14:paraId="496B1ABF">
            <w:pPr>
              <w:spacing w:line="300" w:lineRule="exact"/>
              <w:jc w:val="center"/>
              <w:rPr>
                <w:rFonts w:ascii="宋体" w:hAnsi="宋体" w:cs="宋体"/>
                <w:b/>
                <w:bCs/>
                <w:color w:val="000000"/>
                <w:kern w:val="0"/>
                <w:sz w:val="22"/>
              </w:rPr>
            </w:pPr>
            <w:r>
              <w:rPr>
                <w:rFonts w:hint="eastAsia" w:ascii="宋体" w:hAnsi="宋体" w:cs="宋体"/>
                <w:b/>
                <w:bCs/>
                <w:color w:val="000000"/>
                <w:kern w:val="0"/>
                <w:sz w:val="22"/>
              </w:rPr>
              <w:t>新增养殖量</w:t>
            </w:r>
            <w:r>
              <w:rPr>
                <w:rFonts w:hint="eastAsia" w:ascii="宋体" w:hAnsi="宋体" w:cs="宋体"/>
                <w:b/>
                <w:bCs/>
                <w:color w:val="000000"/>
                <w:kern w:val="0"/>
                <w:sz w:val="22"/>
              </w:rPr>
              <w:br w:type="textWrapping"/>
            </w:r>
            <w:r>
              <w:rPr>
                <w:rFonts w:hint="eastAsia" w:ascii="宋体" w:hAnsi="宋体" w:cs="宋体"/>
                <w:b/>
                <w:bCs/>
                <w:color w:val="000000"/>
                <w:kern w:val="0"/>
                <w:sz w:val="22"/>
              </w:rPr>
              <w:t>（万羽）</w:t>
            </w:r>
          </w:p>
        </w:tc>
        <w:tc>
          <w:tcPr>
            <w:tcW w:w="1347" w:type="dxa"/>
            <w:tcBorders>
              <w:top w:val="single" w:color="auto" w:sz="4" w:space="0"/>
              <w:left w:val="nil"/>
              <w:bottom w:val="single" w:color="auto" w:sz="4" w:space="0"/>
              <w:right w:val="single" w:color="auto" w:sz="4" w:space="0"/>
            </w:tcBorders>
            <w:vAlign w:val="center"/>
          </w:tcPr>
          <w:p w14:paraId="225F2670">
            <w:pPr>
              <w:spacing w:line="300" w:lineRule="exact"/>
              <w:jc w:val="center"/>
              <w:rPr>
                <w:rFonts w:ascii="宋体" w:hAnsi="宋体" w:cs="宋体"/>
                <w:b/>
                <w:bCs/>
                <w:color w:val="000000"/>
                <w:kern w:val="0"/>
                <w:sz w:val="22"/>
              </w:rPr>
            </w:pPr>
            <w:r>
              <w:rPr>
                <w:rFonts w:hint="eastAsia" w:ascii="宋体" w:hAnsi="宋体" w:cs="宋体"/>
                <w:b/>
                <w:bCs/>
                <w:color w:val="000000"/>
                <w:kern w:val="0"/>
                <w:sz w:val="22"/>
              </w:rPr>
              <w:t>新增出栏量</w:t>
            </w:r>
            <w:r>
              <w:rPr>
                <w:rFonts w:hint="eastAsia" w:ascii="宋体" w:hAnsi="宋体" w:cs="宋体"/>
                <w:b/>
                <w:bCs/>
                <w:color w:val="000000"/>
                <w:kern w:val="0"/>
                <w:sz w:val="22"/>
              </w:rPr>
              <w:br w:type="textWrapping"/>
            </w:r>
            <w:r>
              <w:rPr>
                <w:rFonts w:hint="eastAsia" w:ascii="宋体" w:hAnsi="宋体" w:cs="宋体"/>
                <w:b/>
                <w:bCs/>
                <w:color w:val="000000"/>
                <w:kern w:val="0"/>
                <w:sz w:val="22"/>
              </w:rPr>
              <w:t>（万羽）</w:t>
            </w:r>
          </w:p>
        </w:tc>
        <w:tc>
          <w:tcPr>
            <w:tcW w:w="1703" w:type="dxa"/>
            <w:tcBorders>
              <w:top w:val="single" w:color="auto" w:sz="4" w:space="0"/>
              <w:left w:val="nil"/>
              <w:bottom w:val="single" w:color="auto" w:sz="4" w:space="0"/>
              <w:right w:val="single" w:color="auto" w:sz="4" w:space="0"/>
            </w:tcBorders>
            <w:vAlign w:val="center"/>
          </w:tcPr>
          <w:p w14:paraId="51498F4B">
            <w:pPr>
              <w:spacing w:line="300" w:lineRule="exact"/>
              <w:jc w:val="center"/>
              <w:rPr>
                <w:rFonts w:ascii="宋体" w:hAnsi="宋体" w:cs="宋体"/>
                <w:b/>
                <w:bCs/>
                <w:color w:val="000000"/>
                <w:kern w:val="0"/>
                <w:sz w:val="22"/>
              </w:rPr>
            </w:pPr>
            <w:r>
              <w:rPr>
                <w:rFonts w:hint="eastAsia" w:ascii="宋体" w:hAnsi="宋体" w:cs="宋体"/>
                <w:b/>
                <w:bCs/>
                <w:color w:val="000000"/>
                <w:kern w:val="0"/>
                <w:sz w:val="22"/>
              </w:rPr>
              <w:t>新建圈舍</w:t>
            </w:r>
            <w:r>
              <w:rPr>
                <w:rFonts w:hint="eastAsia" w:ascii="宋体" w:hAnsi="宋体" w:cs="宋体"/>
                <w:b/>
                <w:bCs/>
                <w:color w:val="000000"/>
                <w:kern w:val="0"/>
                <w:sz w:val="22"/>
              </w:rPr>
              <w:br w:type="textWrapping"/>
            </w:r>
            <w:r>
              <w:rPr>
                <w:rFonts w:hint="eastAsia" w:ascii="宋体" w:hAnsi="宋体" w:cs="宋体"/>
                <w:b/>
                <w:bCs/>
                <w:color w:val="000000"/>
                <w:kern w:val="0"/>
                <w:sz w:val="22"/>
              </w:rPr>
              <w:t>（个）</w:t>
            </w:r>
          </w:p>
        </w:tc>
        <w:tc>
          <w:tcPr>
            <w:tcW w:w="723" w:type="dxa"/>
            <w:tcBorders>
              <w:top w:val="single" w:color="auto" w:sz="4" w:space="0"/>
              <w:left w:val="nil"/>
              <w:bottom w:val="single" w:color="auto" w:sz="4" w:space="0"/>
              <w:right w:val="single" w:color="auto" w:sz="4" w:space="0"/>
            </w:tcBorders>
            <w:noWrap/>
            <w:vAlign w:val="center"/>
          </w:tcPr>
          <w:p w14:paraId="1B2A9E03">
            <w:pPr>
              <w:spacing w:line="300" w:lineRule="exact"/>
              <w:jc w:val="center"/>
              <w:rPr>
                <w:rFonts w:ascii="宋体" w:hAnsi="宋体" w:cs="宋体"/>
                <w:b/>
                <w:bCs/>
                <w:color w:val="000000"/>
                <w:kern w:val="0"/>
                <w:sz w:val="22"/>
              </w:rPr>
            </w:pPr>
            <w:r>
              <w:rPr>
                <w:rFonts w:hint="eastAsia" w:ascii="宋体" w:hAnsi="宋体" w:cs="宋体"/>
                <w:b/>
                <w:bCs/>
                <w:color w:val="000000"/>
                <w:kern w:val="0"/>
                <w:sz w:val="22"/>
              </w:rPr>
              <w:t>备注</w:t>
            </w:r>
          </w:p>
        </w:tc>
      </w:tr>
      <w:tr w14:paraId="369EBB18">
        <w:tblPrEx>
          <w:tblCellMar>
            <w:top w:w="0" w:type="dxa"/>
            <w:left w:w="108" w:type="dxa"/>
            <w:bottom w:w="0" w:type="dxa"/>
            <w:right w:w="108" w:type="dxa"/>
          </w:tblCellMar>
        </w:tblPrEx>
        <w:trPr>
          <w:trHeight w:val="486" w:hRule="atLeast"/>
        </w:trPr>
        <w:tc>
          <w:tcPr>
            <w:tcW w:w="587" w:type="dxa"/>
            <w:tcBorders>
              <w:top w:val="nil"/>
              <w:left w:val="single" w:color="auto" w:sz="4" w:space="0"/>
              <w:bottom w:val="single" w:color="auto" w:sz="4" w:space="0"/>
              <w:right w:val="single" w:color="auto" w:sz="4" w:space="0"/>
            </w:tcBorders>
            <w:noWrap/>
            <w:vAlign w:val="center"/>
          </w:tcPr>
          <w:p w14:paraId="7A4E35D9">
            <w:pPr>
              <w:spacing w:line="300" w:lineRule="exact"/>
              <w:jc w:val="center"/>
              <w:rPr>
                <w:rFonts w:ascii="宋体" w:hAnsi="宋体" w:cs="宋体"/>
                <w:color w:val="000000"/>
                <w:kern w:val="0"/>
                <w:sz w:val="24"/>
              </w:rPr>
            </w:pPr>
            <w:r>
              <w:rPr>
                <w:rFonts w:hint="eastAsia" w:ascii="宋体" w:hAnsi="宋体" w:cs="宋体"/>
                <w:color w:val="000000"/>
                <w:kern w:val="0"/>
                <w:sz w:val="24"/>
              </w:rPr>
              <w:t>1</w:t>
            </w:r>
          </w:p>
        </w:tc>
        <w:tc>
          <w:tcPr>
            <w:tcW w:w="1823" w:type="dxa"/>
            <w:tcBorders>
              <w:top w:val="nil"/>
              <w:left w:val="nil"/>
              <w:bottom w:val="single" w:color="auto" w:sz="4" w:space="0"/>
              <w:right w:val="single" w:color="auto" w:sz="4" w:space="0"/>
            </w:tcBorders>
            <w:noWrap/>
            <w:vAlign w:val="center"/>
          </w:tcPr>
          <w:p w14:paraId="69408DFD">
            <w:pPr>
              <w:spacing w:line="300" w:lineRule="exact"/>
              <w:jc w:val="center"/>
              <w:rPr>
                <w:rFonts w:ascii="宋体" w:hAnsi="宋体" w:cs="宋体"/>
                <w:color w:val="000000"/>
                <w:kern w:val="0"/>
                <w:sz w:val="24"/>
              </w:rPr>
            </w:pPr>
            <w:r>
              <w:rPr>
                <w:rFonts w:hint="eastAsia" w:ascii="宋体" w:hAnsi="宋体" w:cs="宋体"/>
                <w:color w:val="000000"/>
                <w:kern w:val="0"/>
                <w:sz w:val="24"/>
              </w:rPr>
              <w:t>生态鹅业公司</w:t>
            </w:r>
          </w:p>
        </w:tc>
        <w:tc>
          <w:tcPr>
            <w:tcW w:w="1625" w:type="dxa"/>
            <w:tcBorders>
              <w:top w:val="nil"/>
              <w:left w:val="nil"/>
              <w:bottom w:val="single" w:color="auto" w:sz="4" w:space="0"/>
              <w:right w:val="single" w:color="auto" w:sz="4" w:space="0"/>
            </w:tcBorders>
            <w:noWrap/>
            <w:vAlign w:val="center"/>
          </w:tcPr>
          <w:p w14:paraId="1DABF066">
            <w:pPr>
              <w:spacing w:line="300" w:lineRule="exact"/>
              <w:jc w:val="center"/>
              <w:rPr>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13.5 </w:t>
            </w:r>
          </w:p>
        </w:tc>
        <w:tc>
          <w:tcPr>
            <w:tcW w:w="1347" w:type="dxa"/>
            <w:tcBorders>
              <w:top w:val="nil"/>
              <w:left w:val="nil"/>
              <w:bottom w:val="single" w:color="auto" w:sz="4" w:space="0"/>
              <w:right w:val="single" w:color="auto" w:sz="4" w:space="0"/>
            </w:tcBorders>
            <w:noWrap/>
            <w:vAlign w:val="center"/>
          </w:tcPr>
          <w:p w14:paraId="713652DA">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54 </w:t>
            </w:r>
          </w:p>
        </w:tc>
        <w:tc>
          <w:tcPr>
            <w:tcW w:w="1347" w:type="dxa"/>
            <w:tcBorders>
              <w:top w:val="nil"/>
              <w:left w:val="nil"/>
              <w:bottom w:val="single" w:color="auto" w:sz="4" w:space="0"/>
              <w:right w:val="single" w:color="auto" w:sz="4" w:space="0"/>
            </w:tcBorders>
            <w:noWrap/>
            <w:vAlign w:val="center"/>
          </w:tcPr>
          <w:p w14:paraId="705F6AD7">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46 </w:t>
            </w:r>
          </w:p>
        </w:tc>
        <w:tc>
          <w:tcPr>
            <w:tcW w:w="1703" w:type="dxa"/>
            <w:tcBorders>
              <w:top w:val="nil"/>
              <w:left w:val="nil"/>
              <w:bottom w:val="single" w:color="auto" w:sz="4" w:space="0"/>
              <w:right w:val="single" w:color="auto" w:sz="4" w:space="0"/>
            </w:tcBorders>
            <w:noWrap/>
            <w:vAlign w:val="center"/>
          </w:tcPr>
          <w:p w14:paraId="077975DB">
            <w:pPr>
              <w:spacing w:line="300" w:lineRule="exact"/>
              <w:jc w:val="center"/>
              <w:rPr>
                <w:rFonts w:ascii="宋体" w:hAnsi="宋体" w:cs="宋体"/>
                <w:color w:val="000000"/>
                <w:kern w:val="0"/>
                <w:sz w:val="24"/>
              </w:rPr>
            </w:pPr>
            <w:r>
              <w:rPr>
                <w:rFonts w:hint="eastAsia" w:ascii="宋体" w:hAnsi="宋体" w:cs="宋体"/>
                <w:color w:val="000000"/>
                <w:kern w:val="0"/>
                <w:sz w:val="24"/>
              </w:rPr>
              <w:t>　</w:t>
            </w:r>
          </w:p>
        </w:tc>
        <w:tc>
          <w:tcPr>
            <w:tcW w:w="723" w:type="dxa"/>
            <w:tcBorders>
              <w:top w:val="nil"/>
              <w:left w:val="nil"/>
              <w:bottom w:val="single" w:color="auto" w:sz="4" w:space="0"/>
              <w:right w:val="single" w:color="auto" w:sz="4" w:space="0"/>
            </w:tcBorders>
            <w:noWrap/>
            <w:vAlign w:val="center"/>
          </w:tcPr>
          <w:p w14:paraId="7C0B4C17">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B346046">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2EEC6F7A">
            <w:pPr>
              <w:spacing w:line="300" w:lineRule="exact"/>
              <w:jc w:val="center"/>
              <w:rPr>
                <w:rFonts w:ascii="宋体" w:hAnsi="宋体" w:cs="宋体"/>
                <w:color w:val="000000"/>
                <w:kern w:val="0"/>
                <w:sz w:val="24"/>
              </w:rPr>
            </w:pPr>
            <w:r>
              <w:rPr>
                <w:rFonts w:hint="eastAsia" w:ascii="宋体" w:hAnsi="宋体" w:cs="宋体"/>
                <w:color w:val="000000"/>
                <w:kern w:val="0"/>
                <w:sz w:val="24"/>
              </w:rPr>
              <w:t>2</w:t>
            </w:r>
          </w:p>
        </w:tc>
        <w:tc>
          <w:tcPr>
            <w:tcW w:w="1823" w:type="dxa"/>
            <w:tcBorders>
              <w:top w:val="nil"/>
              <w:left w:val="nil"/>
              <w:bottom w:val="single" w:color="auto" w:sz="4" w:space="0"/>
              <w:right w:val="single" w:color="auto" w:sz="4" w:space="0"/>
            </w:tcBorders>
            <w:vAlign w:val="center"/>
          </w:tcPr>
          <w:p w14:paraId="0E1ADA89">
            <w:pPr>
              <w:spacing w:line="300" w:lineRule="exact"/>
              <w:jc w:val="center"/>
              <w:rPr>
                <w:rFonts w:ascii="宋体" w:hAnsi="宋体" w:cs="宋体"/>
                <w:color w:val="000000"/>
                <w:kern w:val="0"/>
                <w:sz w:val="24"/>
              </w:rPr>
            </w:pPr>
            <w:r>
              <w:rPr>
                <w:rFonts w:hint="eastAsia" w:ascii="宋体" w:hAnsi="宋体" w:cs="宋体"/>
                <w:color w:val="000000"/>
                <w:kern w:val="0"/>
                <w:sz w:val="24"/>
              </w:rPr>
              <w:t>岔路基地</w:t>
            </w:r>
          </w:p>
        </w:tc>
        <w:tc>
          <w:tcPr>
            <w:tcW w:w="1625" w:type="dxa"/>
            <w:tcBorders>
              <w:top w:val="nil"/>
              <w:left w:val="nil"/>
              <w:bottom w:val="single" w:color="auto" w:sz="4" w:space="0"/>
              <w:right w:val="single" w:color="auto" w:sz="4" w:space="0"/>
            </w:tcBorders>
            <w:vAlign w:val="center"/>
          </w:tcPr>
          <w:p w14:paraId="4AD159C0">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50.0 </w:t>
            </w:r>
          </w:p>
        </w:tc>
        <w:tc>
          <w:tcPr>
            <w:tcW w:w="1347" w:type="dxa"/>
            <w:tcBorders>
              <w:top w:val="nil"/>
              <w:left w:val="nil"/>
              <w:bottom w:val="single" w:color="auto" w:sz="4" w:space="0"/>
              <w:right w:val="single" w:color="auto" w:sz="4" w:space="0"/>
            </w:tcBorders>
            <w:vAlign w:val="center"/>
          </w:tcPr>
          <w:p w14:paraId="0924A7B1">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100 </w:t>
            </w:r>
          </w:p>
        </w:tc>
        <w:tc>
          <w:tcPr>
            <w:tcW w:w="1347" w:type="dxa"/>
            <w:tcBorders>
              <w:top w:val="nil"/>
              <w:left w:val="nil"/>
              <w:bottom w:val="single" w:color="auto" w:sz="4" w:space="0"/>
              <w:right w:val="single" w:color="auto" w:sz="4" w:space="0"/>
            </w:tcBorders>
            <w:noWrap/>
            <w:vAlign w:val="center"/>
          </w:tcPr>
          <w:p w14:paraId="3F118338">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85 </w:t>
            </w:r>
          </w:p>
        </w:tc>
        <w:tc>
          <w:tcPr>
            <w:tcW w:w="1703" w:type="dxa"/>
            <w:tcBorders>
              <w:top w:val="nil"/>
              <w:left w:val="nil"/>
              <w:bottom w:val="single" w:color="auto" w:sz="4" w:space="0"/>
              <w:right w:val="single" w:color="auto" w:sz="4" w:space="0"/>
            </w:tcBorders>
            <w:noWrap/>
            <w:vAlign w:val="center"/>
          </w:tcPr>
          <w:p w14:paraId="0B51AC88">
            <w:pPr>
              <w:spacing w:line="300" w:lineRule="exact"/>
              <w:jc w:val="center"/>
              <w:rPr>
                <w:rFonts w:ascii="宋体" w:hAnsi="宋体" w:cs="宋体"/>
                <w:color w:val="000000"/>
                <w:kern w:val="0"/>
                <w:sz w:val="24"/>
              </w:rPr>
            </w:pPr>
            <w:r>
              <w:rPr>
                <w:rFonts w:hint="eastAsia" w:ascii="宋体" w:hAnsi="宋体" w:cs="宋体"/>
                <w:color w:val="000000"/>
                <w:kern w:val="0"/>
                <w:sz w:val="24"/>
              </w:rPr>
              <w:t>137</w:t>
            </w:r>
          </w:p>
        </w:tc>
        <w:tc>
          <w:tcPr>
            <w:tcW w:w="723" w:type="dxa"/>
            <w:tcBorders>
              <w:top w:val="nil"/>
              <w:left w:val="nil"/>
              <w:bottom w:val="single" w:color="auto" w:sz="4" w:space="0"/>
              <w:right w:val="single" w:color="auto" w:sz="4" w:space="0"/>
            </w:tcBorders>
            <w:noWrap/>
            <w:vAlign w:val="center"/>
          </w:tcPr>
          <w:p w14:paraId="4B0BF1E1">
            <w:pPr>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拟新建</w:t>
            </w:r>
          </w:p>
        </w:tc>
      </w:tr>
      <w:tr w14:paraId="78D93CC0">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789FAE15">
            <w:pPr>
              <w:spacing w:line="300" w:lineRule="exact"/>
              <w:jc w:val="center"/>
              <w:rPr>
                <w:rFonts w:ascii="宋体" w:hAnsi="宋体" w:cs="宋体"/>
                <w:color w:val="000000"/>
                <w:kern w:val="0"/>
                <w:sz w:val="24"/>
              </w:rPr>
            </w:pPr>
            <w:r>
              <w:rPr>
                <w:rFonts w:hint="eastAsia" w:ascii="宋体" w:hAnsi="宋体" w:cs="宋体"/>
                <w:color w:val="000000"/>
                <w:kern w:val="0"/>
                <w:sz w:val="24"/>
              </w:rPr>
              <w:t>3</w:t>
            </w:r>
          </w:p>
        </w:tc>
        <w:tc>
          <w:tcPr>
            <w:tcW w:w="1823" w:type="dxa"/>
            <w:tcBorders>
              <w:top w:val="nil"/>
              <w:left w:val="nil"/>
              <w:bottom w:val="single" w:color="auto" w:sz="4" w:space="0"/>
              <w:right w:val="single" w:color="auto" w:sz="4" w:space="0"/>
            </w:tcBorders>
            <w:vAlign w:val="center"/>
          </w:tcPr>
          <w:p w14:paraId="49A96DE9">
            <w:pPr>
              <w:spacing w:line="300" w:lineRule="exact"/>
              <w:jc w:val="center"/>
              <w:rPr>
                <w:rFonts w:ascii="宋体" w:hAnsi="宋体" w:cs="宋体"/>
                <w:color w:val="000000"/>
                <w:kern w:val="0"/>
                <w:sz w:val="24"/>
              </w:rPr>
            </w:pPr>
            <w:r>
              <w:rPr>
                <w:rFonts w:hint="eastAsia" w:ascii="宋体" w:hAnsi="宋体" w:cs="宋体"/>
                <w:color w:val="000000"/>
                <w:kern w:val="0"/>
                <w:sz w:val="24"/>
              </w:rPr>
              <w:t>铜鼓镇</w:t>
            </w:r>
          </w:p>
        </w:tc>
        <w:tc>
          <w:tcPr>
            <w:tcW w:w="1625" w:type="dxa"/>
            <w:tcBorders>
              <w:top w:val="nil"/>
              <w:left w:val="nil"/>
              <w:bottom w:val="single" w:color="auto" w:sz="4" w:space="0"/>
              <w:right w:val="single" w:color="auto" w:sz="4" w:space="0"/>
            </w:tcBorders>
            <w:vAlign w:val="center"/>
          </w:tcPr>
          <w:p w14:paraId="384A281D">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7.0 </w:t>
            </w:r>
          </w:p>
        </w:tc>
        <w:tc>
          <w:tcPr>
            <w:tcW w:w="1347" w:type="dxa"/>
            <w:tcBorders>
              <w:top w:val="nil"/>
              <w:left w:val="nil"/>
              <w:bottom w:val="single" w:color="auto" w:sz="4" w:space="0"/>
              <w:right w:val="single" w:color="auto" w:sz="4" w:space="0"/>
            </w:tcBorders>
            <w:vAlign w:val="center"/>
          </w:tcPr>
          <w:p w14:paraId="68158215">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28 </w:t>
            </w:r>
          </w:p>
        </w:tc>
        <w:tc>
          <w:tcPr>
            <w:tcW w:w="1347" w:type="dxa"/>
            <w:tcBorders>
              <w:top w:val="nil"/>
              <w:left w:val="nil"/>
              <w:bottom w:val="single" w:color="auto" w:sz="4" w:space="0"/>
              <w:right w:val="single" w:color="auto" w:sz="4" w:space="0"/>
            </w:tcBorders>
            <w:noWrap/>
            <w:vAlign w:val="center"/>
          </w:tcPr>
          <w:p w14:paraId="2027D85E">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24 </w:t>
            </w:r>
          </w:p>
        </w:tc>
        <w:tc>
          <w:tcPr>
            <w:tcW w:w="1703" w:type="dxa"/>
            <w:tcBorders>
              <w:top w:val="nil"/>
              <w:left w:val="nil"/>
              <w:bottom w:val="single" w:color="auto" w:sz="4" w:space="0"/>
              <w:right w:val="single" w:color="auto" w:sz="4" w:space="0"/>
            </w:tcBorders>
            <w:noWrap/>
            <w:vAlign w:val="center"/>
          </w:tcPr>
          <w:p w14:paraId="7453D03B">
            <w:pPr>
              <w:spacing w:line="300" w:lineRule="exact"/>
              <w:jc w:val="center"/>
              <w:rPr>
                <w:rFonts w:ascii="宋体" w:hAnsi="宋体" w:cs="宋体"/>
                <w:color w:val="000000"/>
                <w:kern w:val="0"/>
                <w:sz w:val="24"/>
              </w:rPr>
            </w:pPr>
            <w:r>
              <w:rPr>
                <w:rFonts w:hint="eastAsia" w:ascii="宋体" w:hAnsi="宋体" w:cs="宋体"/>
                <w:color w:val="000000"/>
                <w:kern w:val="0"/>
                <w:sz w:val="24"/>
              </w:rPr>
              <w:t>18</w:t>
            </w:r>
          </w:p>
        </w:tc>
        <w:tc>
          <w:tcPr>
            <w:tcW w:w="723" w:type="dxa"/>
            <w:tcBorders>
              <w:top w:val="nil"/>
              <w:left w:val="nil"/>
              <w:bottom w:val="single" w:color="auto" w:sz="4" w:space="0"/>
              <w:right w:val="single" w:color="auto" w:sz="4" w:space="0"/>
            </w:tcBorders>
            <w:noWrap/>
            <w:vAlign w:val="center"/>
          </w:tcPr>
          <w:p w14:paraId="6F9DAF82">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已有2个　</w:t>
            </w:r>
          </w:p>
        </w:tc>
      </w:tr>
      <w:tr w14:paraId="69F75879">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73DA6E3F">
            <w:pPr>
              <w:spacing w:line="300" w:lineRule="exact"/>
              <w:jc w:val="center"/>
              <w:rPr>
                <w:rFonts w:ascii="宋体" w:hAnsi="宋体" w:cs="宋体"/>
                <w:color w:val="000000"/>
                <w:kern w:val="0"/>
                <w:sz w:val="24"/>
              </w:rPr>
            </w:pPr>
            <w:r>
              <w:rPr>
                <w:rFonts w:hint="eastAsia" w:ascii="宋体" w:hAnsi="宋体" w:cs="宋体"/>
                <w:color w:val="000000"/>
                <w:kern w:val="0"/>
                <w:sz w:val="24"/>
              </w:rPr>
              <w:t>4</w:t>
            </w:r>
          </w:p>
        </w:tc>
        <w:tc>
          <w:tcPr>
            <w:tcW w:w="1823" w:type="dxa"/>
            <w:tcBorders>
              <w:top w:val="nil"/>
              <w:left w:val="nil"/>
              <w:bottom w:val="single" w:color="auto" w:sz="4" w:space="0"/>
              <w:right w:val="single" w:color="auto" w:sz="4" w:space="0"/>
            </w:tcBorders>
            <w:vAlign w:val="center"/>
          </w:tcPr>
          <w:p w14:paraId="7995F066">
            <w:pPr>
              <w:spacing w:line="300" w:lineRule="exact"/>
              <w:jc w:val="center"/>
              <w:rPr>
                <w:rFonts w:ascii="宋体" w:hAnsi="宋体" w:cs="宋体"/>
                <w:color w:val="000000"/>
                <w:kern w:val="0"/>
                <w:sz w:val="24"/>
              </w:rPr>
            </w:pPr>
            <w:r>
              <w:rPr>
                <w:rFonts w:hint="eastAsia" w:ascii="宋体" w:hAnsi="宋体" w:cs="宋体"/>
                <w:color w:val="000000"/>
                <w:kern w:val="0"/>
                <w:sz w:val="24"/>
              </w:rPr>
              <w:t>敦寨镇</w:t>
            </w:r>
          </w:p>
        </w:tc>
        <w:tc>
          <w:tcPr>
            <w:tcW w:w="1625" w:type="dxa"/>
            <w:tcBorders>
              <w:top w:val="nil"/>
              <w:left w:val="nil"/>
              <w:bottom w:val="single" w:color="auto" w:sz="4" w:space="0"/>
              <w:right w:val="single" w:color="auto" w:sz="4" w:space="0"/>
            </w:tcBorders>
            <w:vAlign w:val="center"/>
          </w:tcPr>
          <w:p w14:paraId="74B36415">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7.0 </w:t>
            </w:r>
          </w:p>
        </w:tc>
        <w:tc>
          <w:tcPr>
            <w:tcW w:w="1347" w:type="dxa"/>
            <w:tcBorders>
              <w:top w:val="nil"/>
              <w:left w:val="nil"/>
              <w:bottom w:val="single" w:color="auto" w:sz="4" w:space="0"/>
              <w:right w:val="single" w:color="auto" w:sz="4" w:space="0"/>
            </w:tcBorders>
            <w:vAlign w:val="center"/>
          </w:tcPr>
          <w:p w14:paraId="17BF454C">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28 </w:t>
            </w:r>
          </w:p>
        </w:tc>
        <w:tc>
          <w:tcPr>
            <w:tcW w:w="1347" w:type="dxa"/>
            <w:tcBorders>
              <w:top w:val="nil"/>
              <w:left w:val="nil"/>
              <w:bottom w:val="single" w:color="auto" w:sz="4" w:space="0"/>
              <w:right w:val="single" w:color="auto" w:sz="4" w:space="0"/>
            </w:tcBorders>
            <w:noWrap/>
            <w:vAlign w:val="center"/>
          </w:tcPr>
          <w:p w14:paraId="33FE3AC4">
            <w:pPr>
              <w:spacing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24 </w:t>
            </w:r>
          </w:p>
        </w:tc>
        <w:tc>
          <w:tcPr>
            <w:tcW w:w="1703" w:type="dxa"/>
            <w:tcBorders>
              <w:top w:val="nil"/>
              <w:left w:val="nil"/>
              <w:bottom w:val="single" w:color="auto" w:sz="4" w:space="0"/>
              <w:right w:val="single" w:color="auto" w:sz="4" w:space="0"/>
            </w:tcBorders>
            <w:noWrap/>
            <w:vAlign w:val="center"/>
          </w:tcPr>
          <w:p w14:paraId="2F04EFFE">
            <w:pPr>
              <w:spacing w:line="300" w:lineRule="exact"/>
              <w:jc w:val="center"/>
              <w:rPr>
                <w:rFonts w:ascii="宋体" w:hAnsi="宋体" w:cs="宋体"/>
                <w:color w:val="000000"/>
                <w:kern w:val="0"/>
                <w:sz w:val="24"/>
              </w:rPr>
            </w:pPr>
            <w:r>
              <w:rPr>
                <w:rFonts w:hint="eastAsia" w:ascii="宋体" w:hAnsi="宋体" w:cs="宋体"/>
                <w:color w:val="000000"/>
                <w:kern w:val="0"/>
                <w:sz w:val="24"/>
              </w:rPr>
              <w:t>10</w:t>
            </w:r>
          </w:p>
        </w:tc>
        <w:tc>
          <w:tcPr>
            <w:tcW w:w="723" w:type="dxa"/>
            <w:tcBorders>
              <w:top w:val="nil"/>
              <w:left w:val="nil"/>
              <w:bottom w:val="single" w:color="auto" w:sz="4" w:space="0"/>
              <w:right w:val="single" w:color="auto" w:sz="4" w:space="0"/>
            </w:tcBorders>
            <w:noWrap/>
            <w:vAlign w:val="center"/>
          </w:tcPr>
          <w:p w14:paraId="1371D7E8">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已有</w:t>
            </w:r>
            <w:r>
              <w:rPr>
                <w:rFonts w:ascii="宋体" w:hAnsi="宋体" w:cs="宋体"/>
                <w:color w:val="000000"/>
                <w:kern w:val="0"/>
                <w:sz w:val="22"/>
                <w:szCs w:val="22"/>
              </w:rPr>
              <w:t>10</w:t>
            </w:r>
            <w:r>
              <w:rPr>
                <w:rFonts w:hint="eastAsia" w:ascii="宋体" w:hAnsi="宋体" w:cs="宋体"/>
                <w:color w:val="000000"/>
                <w:kern w:val="0"/>
                <w:sz w:val="22"/>
                <w:szCs w:val="22"/>
              </w:rPr>
              <w:t>个　</w:t>
            </w:r>
          </w:p>
        </w:tc>
      </w:tr>
      <w:tr w14:paraId="5B63C277">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47C17784">
            <w:pPr>
              <w:spacing w:line="300" w:lineRule="exact"/>
              <w:jc w:val="center"/>
              <w:rPr>
                <w:rFonts w:ascii="宋体" w:hAnsi="宋体" w:cs="宋体"/>
                <w:color w:val="000000"/>
                <w:kern w:val="0"/>
                <w:sz w:val="24"/>
              </w:rPr>
            </w:pPr>
            <w:r>
              <w:rPr>
                <w:rFonts w:hint="eastAsia" w:ascii="宋体" w:hAnsi="宋体" w:cs="宋体"/>
                <w:color w:val="000000"/>
                <w:kern w:val="0"/>
                <w:sz w:val="24"/>
              </w:rPr>
              <w:t>5</w:t>
            </w:r>
          </w:p>
        </w:tc>
        <w:tc>
          <w:tcPr>
            <w:tcW w:w="1823" w:type="dxa"/>
            <w:tcBorders>
              <w:top w:val="nil"/>
              <w:left w:val="nil"/>
              <w:bottom w:val="single" w:color="auto" w:sz="4" w:space="0"/>
              <w:right w:val="single" w:color="auto" w:sz="4" w:space="0"/>
            </w:tcBorders>
            <w:vAlign w:val="center"/>
          </w:tcPr>
          <w:p w14:paraId="49672AA2">
            <w:pPr>
              <w:spacing w:line="300" w:lineRule="exact"/>
              <w:jc w:val="center"/>
              <w:rPr>
                <w:rFonts w:ascii="宋体" w:hAnsi="宋体" w:cs="宋体"/>
                <w:color w:val="000000"/>
                <w:kern w:val="0"/>
                <w:sz w:val="24"/>
              </w:rPr>
            </w:pPr>
            <w:r>
              <w:rPr>
                <w:rFonts w:hint="eastAsia" w:ascii="宋体" w:hAnsi="宋体" w:cs="宋体"/>
                <w:color w:val="000000"/>
                <w:kern w:val="0"/>
                <w:sz w:val="24"/>
              </w:rPr>
              <w:t>隆里乡</w:t>
            </w:r>
          </w:p>
        </w:tc>
        <w:tc>
          <w:tcPr>
            <w:tcW w:w="1625" w:type="dxa"/>
            <w:tcBorders>
              <w:top w:val="nil"/>
              <w:left w:val="nil"/>
              <w:bottom w:val="single" w:color="auto" w:sz="4" w:space="0"/>
              <w:right w:val="single" w:color="auto" w:sz="4" w:space="0"/>
            </w:tcBorders>
            <w:vAlign w:val="center"/>
          </w:tcPr>
          <w:p w14:paraId="14F5938E">
            <w:pPr>
              <w:spacing w:line="300" w:lineRule="exact"/>
              <w:jc w:val="center"/>
              <w:rPr>
                <w:color w:val="000000"/>
                <w:sz w:val="20"/>
                <w:szCs w:val="20"/>
              </w:rPr>
            </w:pPr>
            <w:r>
              <w:rPr>
                <w:rFonts w:hint="eastAsia"/>
                <w:color w:val="000000"/>
                <w:sz w:val="20"/>
                <w:szCs w:val="20"/>
              </w:rPr>
              <w:t xml:space="preserve">7.0 </w:t>
            </w:r>
          </w:p>
        </w:tc>
        <w:tc>
          <w:tcPr>
            <w:tcW w:w="1347" w:type="dxa"/>
            <w:tcBorders>
              <w:top w:val="nil"/>
              <w:left w:val="nil"/>
              <w:bottom w:val="single" w:color="auto" w:sz="4" w:space="0"/>
              <w:right w:val="single" w:color="auto" w:sz="4" w:space="0"/>
            </w:tcBorders>
            <w:vAlign w:val="center"/>
          </w:tcPr>
          <w:p w14:paraId="07800050">
            <w:pPr>
              <w:spacing w:line="300" w:lineRule="exact"/>
              <w:jc w:val="center"/>
              <w:rPr>
                <w:color w:val="000000"/>
                <w:sz w:val="20"/>
                <w:szCs w:val="20"/>
              </w:rPr>
            </w:pPr>
            <w:r>
              <w:rPr>
                <w:rFonts w:hint="eastAsia"/>
                <w:color w:val="000000"/>
                <w:sz w:val="20"/>
                <w:szCs w:val="20"/>
              </w:rPr>
              <w:t xml:space="preserve">28 </w:t>
            </w:r>
          </w:p>
        </w:tc>
        <w:tc>
          <w:tcPr>
            <w:tcW w:w="1347" w:type="dxa"/>
            <w:tcBorders>
              <w:top w:val="nil"/>
              <w:left w:val="nil"/>
              <w:bottom w:val="single" w:color="auto" w:sz="4" w:space="0"/>
              <w:right w:val="single" w:color="auto" w:sz="4" w:space="0"/>
            </w:tcBorders>
            <w:noWrap/>
            <w:vAlign w:val="center"/>
          </w:tcPr>
          <w:p w14:paraId="1E588F50">
            <w:pPr>
              <w:spacing w:line="300" w:lineRule="exact"/>
              <w:jc w:val="center"/>
              <w:rPr>
                <w:color w:val="000000"/>
                <w:sz w:val="20"/>
                <w:szCs w:val="20"/>
              </w:rPr>
            </w:pPr>
            <w:r>
              <w:rPr>
                <w:rFonts w:hint="eastAsia"/>
                <w:color w:val="000000"/>
                <w:sz w:val="20"/>
                <w:szCs w:val="20"/>
              </w:rPr>
              <w:t xml:space="preserve">24 </w:t>
            </w:r>
          </w:p>
        </w:tc>
        <w:tc>
          <w:tcPr>
            <w:tcW w:w="1703" w:type="dxa"/>
            <w:tcBorders>
              <w:top w:val="nil"/>
              <w:left w:val="nil"/>
              <w:bottom w:val="single" w:color="auto" w:sz="4" w:space="0"/>
              <w:right w:val="single" w:color="auto" w:sz="4" w:space="0"/>
            </w:tcBorders>
            <w:noWrap/>
            <w:vAlign w:val="center"/>
          </w:tcPr>
          <w:p w14:paraId="6F1885B9">
            <w:pPr>
              <w:spacing w:line="300" w:lineRule="exact"/>
              <w:jc w:val="center"/>
              <w:rPr>
                <w:rFonts w:ascii="宋体" w:hAnsi="宋体" w:cs="宋体"/>
                <w:color w:val="000000"/>
                <w:kern w:val="0"/>
                <w:sz w:val="24"/>
              </w:rPr>
            </w:pPr>
            <w:r>
              <w:rPr>
                <w:rFonts w:hint="eastAsia" w:ascii="宋体" w:hAnsi="宋体" w:cs="宋体"/>
                <w:color w:val="000000"/>
                <w:kern w:val="0"/>
                <w:sz w:val="24"/>
              </w:rPr>
              <w:t>17</w:t>
            </w:r>
          </w:p>
        </w:tc>
        <w:tc>
          <w:tcPr>
            <w:tcW w:w="723" w:type="dxa"/>
            <w:tcBorders>
              <w:top w:val="nil"/>
              <w:left w:val="nil"/>
              <w:bottom w:val="single" w:color="auto" w:sz="4" w:space="0"/>
              <w:right w:val="single" w:color="auto" w:sz="4" w:space="0"/>
            </w:tcBorders>
            <w:noWrap/>
            <w:vAlign w:val="center"/>
          </w:tcPr>
          <w:p w14:paraId="128E5713">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8586685">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5AEF7F33">
            <w:pPr>
              <w:spacing w:line="300" w:lineRule="exact"/>
              <w:jc w:val="center"/>
              <w:rPr>
                <w:rFonts w:ascii="宋体" w:hAnsi="宋体" w:cs="宋体"/>
                <w:color w:val="000000"/>
                <w:kern w:val="0"/>
                <w:sz w:val="24"/>
              </w:rPr>
            </w:pPr>
            <w:r>
              <w:rPr>
                <w:rFonts w:hint="eastAsia" w:ascii="宋体" w:hAnsi="宋体" w:cs="宋体"/>
                <w:color w:val="000000"/>
                <w:kern w:val="0"/>
                <w:sz w:val="24"/>
              </w:rPr>
              <w:t>6</w:t>
            </w:r>
          </w:p>
        </w:tc>
        <w:tc>
          <w:tcPr>
            <w:tcW w:w="1823" w:type="dxa"/>
            <w:tcBorders>
              <w:top w:val="nil"/>
              <w:left w:val="nil"/>
              <w:bottom w:val="single" w:color="auto" w:sz="4" w:space="0"/>
              <w:right w:val="single" w:color="auto" w:sz="4" w:space="0"/>
            </w:tcBorders>
            <w:vAlign w:val="center"/>
          </w:tcPr>
          <w:p w14:paraId="4CEC34ED">
            <w:pPr>
              <w:spacing w:line="300" w:lineRule="exact"/>
              <w:jc w:val="center"/>
              <w:rPr>
                <w:rFonts w:ascii="宋体" w:hAnsi="宋体" w:cs="宋体"/>
                <w:color w:val="000000"/>
                <w:kern w:val="0"/>
                <w:sz w:val="24"/>
              </w:rPr>
            </w:pPr>
            <w:r>
              <w:rPr>
                <w:rFonts w:hint="eastAsia" w:ascii="宋体" w:hAnsi="宋体" w:cs="宋体"/>
                <w:color w:val="000000"/>
                <w:kern w:val="0"/>
                <w:sz w:val="24"/>
              </w:rPr>
              <w:t>新化乡</w:t>
            </w:r>
          </w:p>
        </w:tc>
        <w:tc>
          <w:tcPr>
            <w:tcW w:w="1625" w:type="dxa"/>
            <w:tcBorders>
              <w:top w:val="nil"/>
              <w:left w:val="nil"/>
              <w:bottom w:val="single" w:color="auto" w:sz="4" w:space="0"/>
              <w:right w:val="single" w:color="auto" w:sz="4" w:space="0"/>
            </w:tcBorders>
            <w:vAlign w:val="center"/>
          </w:tcPr>
          <w:p w14:paraId="2818B0B6">
            <w:pPr>
              <w:spacing w:line="300" w:lineRule="exact"/>
              <w:jc w:val="center"/>
              <w:rPr>
                <w:color w:val="000000"/>
                <w:sz w:val="20"/>
                <w:szCs w:val="20"/>
              </w:rPr>
            </w:pPr>
            <w:r>
              <w:rPr>
                <w:rFonts w:hint="eastAsia"/>
                <w:color w:val="000000"/>
                <w:sz w:val="20"/>
                <w:szCs w:val="20"/>
              </w:rPr>
              <w:t xml:space="preserve">6.0 </w:t>
            </w:r>
          </w:p>
        </w:tc>
        <w:tc>
          <w:tcPr>
            <w:tcW w:w="1347" w:type="dxa"/>
            <w:tcBorders>
              <w:top w:val="nil"/>
              <w:left w:val="nil"/>
              <w:bottom w:val="single" w:color="auto" w:sz="4" w:space="0"/>
              <w:right w:val="single" w:color="auto" w:sz="4" w:space="0"/>
            </w:tcBorders>
            <w:vAlign w:val="center"/>
          </w:tcPr>
          <w:p w14:paraId="1A66B913">
            <w:pPr>
              <w:spacing w:line="300" w:lineRule="exact"/>
              <w:jc w:val="center"/>
              <w:rPr>
                <w:color w:val="000000"/>
                <w:sz w:val="20"/>
                <w:szCs w:val="20"/>
              </w:rPr>
            </w:pPr>
            <w:r>
              <w:rPr>
                <w:rFonts w:hint="eastAsia"/>
                <w:color w:val="000000"/>
                <w:sz w:val="20"/>
                <w:szCs w:val="20"/>
              </w:rPr>
              <w:t xml:space="preserve">24 </w:t>
            </w:r>
          </w:p>
        </w:tc>
        <w:tc>
          <w:tcPr>
            <w:tcW w:w="1347" w:type="dxa"/>
            <w:tcBorders>
              <w:top w:val="nil"/>
              <w:left w:val="nil"/>
              <w:bottom w:val="single" w:color="auto" w:sz="4" w:space="0"/>
              <w:right w:val="single" w:color="auto" w:sz="4" w:space="0"/>
            </w:tcBorders>
            <w:noWrap/>
            <w:vAlign w:val="center"/>
          </w:tcPr>
          <w:p w14:paraId="2ED9B01E">
            <w:pPr>
              <w:spacing w:line="300" w:lineRule="exact"/>
              <w:jc w:val="center"/>
              <w:rPr>
                <w:color w:val="000000"/>
                <w:sz w:val="20"/>
                <w:szCs w:val="20"/>
              </w:rPr>
            </w:pPr>
            <w:r>
              <w:rPr>
                <w:rFonts w:hint="eastAsia"/>
                <w:color w:val="000000"/>
                <w:sz w:val="20"/>
                <w:szCs w:val="20"/>
              </w:rPr>
              <w:t xml:space="preserve">20 </w:t>
            </w:r>
          </w:p>
        </w:tc>
        <w:tc>
          <w:tcPr>
            <w:tcW w:w="1703" w:type="dxa"/>
            <w:tcBorders>
              <w:top w:val="nil"/>
              <w:left w:val="nil"/>
              <w:bottom w:val="single" w:color="auto" w:sz="4" w:space="0"/>
              <w:right w:val="single" w:color="auto" w:sz="4" w:space="0"/>
            </w:tcBorders>
            <w:noWrap/>
            <w:vAlign w:val="center"/>
          </w:tcPr>
          <w:p w14:paraId="5E77056E">
            <w:pPr>
              <w:spacing w:line="300" w:lineRule="exact"/>
              <w:jc w:val="center"/>
              <w:rPr>
                <w:rFonts w:ascii="宋体" w:hAnsi="宋体" w:cs="宋体"/>
                <w:color w:val="000000"/>
                <w:kern w:val="0"/>
                <w:sz w:val="24"/>
              </w:rPr>
            </w:pPr>
            <w:r>
              <w:rPr>
                <w:rFonts w:hint="eastAsia" w:ascii="宋体" w:hAnsi="宋体" w:cs="宋体"/>
                <w:color w:val="000000"/>
                <w:kern w:val="0"/>
                <w:sz w:val="24"/>
              </w:rPr>
              <w:t>20</w:t>
            </w:r>
          </w:p>
        </w:tc>
        <w:tc>
          <w:tcPr>
            <w:tcW w:w="723" w:type="dxa"/>
            <w:tcBorders>
              <w:top w:val="nil"/>
              <w:left w:val="nil"/>
              <w:bottom w:val="single" w:color="auto" w:sz="4" w:space="0"/>
              <w:right w:val="single" w:color="auto" w:sz="4" w:space="0"/>
            </w:tcBorders>
            <w:noWrap/>
            <w:vAlign w:val="center"/>
          </w:tcPr>
          <w:p w14:paraId="68DFE973">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8AA7626">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5DAAFAA9">
            <w:pPr>
              <w:spacing w:line="300" w:lineRule="exact"/>
              <w:jc w:val="center"/>
              <w:rPr>
                <w:rFonts w:ascii="宋体" w:hAnsi="宋体" w:cs="宋体"/>
                <w:color w:val="000000"/>
                <w:kern w:val="0"/>
                <w:sz w:val="24"/>
              </w:rPr>
            </w:pPr>
            <w:r>
              <w:rPr>
                <w:rFonts w:hint="eastAsia" w:ascii="宋体" w:hAnsi="宋体" w:cs="宋体"/>
                <w:color w:val="000000"/>
                <w:kern w:val="0"/>
                <w:sz w:val="24"/>
              </w:rPr>
              <w:t>7</w:t>
            </w:r>
          </w:p>
        </w:tc>
        <w:tc>
          <w:tcPr>
            <w:tcW w:w="1823" w:type="dxa"/>
            <w:tcBorders>
              <w:top w:val="nil"/>
              <w:left w:val="nil"/>
              <w:bottom w:val="single" w:color="auto" w:sz="4" w:space="0"/>
              <w:right w:val="single" w:color="auto" w:sz="4" w:space="0"/>
            </w:tcBorders>
            <w:vAlign w:val="center"/>
          </w:tcPr>
          <w:p w14:paraId="33F95485">
            <w:pPr>
              <w:spacing w:line="300" w:lineRule="exact"/>
              <w:jc w:val="center"/>
              <w:rPr>
                <w:rFonts w:ascii="宋体" w:hAnsi="宋体" w:cs="宋体"/>
                <w:color w:val="000000"/>
                <w:kern w:val="0"/>
                <w:sz w:val="24"/>
              </w:rPr>
            </w:pPr>
            <w:r>
              <w:rPr>
                <w:rFonts w:hint="eastAsia" w:ascii="宋体" w:hAnsi="宋体" w:cs="宋体"/>
                <w:color w:val="000000"/>
                <w:kern w:val="0"/>
                <w:sz w:val="24"/>
              </w:rPr>
              <w:t>钟灵乡</w:t>
            </w:r>
          </w:p>
        </w:tc>
        <w:tc>
          <w:tcPr>
            <w:tcW w:w="1625" w:type="dxa"/>
            <w:tcBorders>
              <w:top w:val="nil"/>
              <w:left w:val="nil"/>
              <w:bottom w:val="single" w:color="auto" w:sz="4" w:space="0"/>
              <w:right w:val="single" w:color="auto" w:sz="4" w:space="0"/>
            </w:tcBorders>
            <w:vAlign w:val="center"/>
          </w:tcPr>
          <w:p w14:paraId="7F01B87C">
            <w:pPr>
              <w:spacing w:line="300" w:lineRule="exact"/>
              <w:jc w:val="center"/>
              <w:rPr>
                <w:color w:val="000000"/>
                <w:sz w:val="20"/>
                <w:szCs w:val="20"/>
              </w:rPr>
            </w:pPr>
            <w:r>
              <w:rPr>
                <w:rFonts w:hint="eastAsia"/>
                <w:color w:val="000000"/>
                <w:sz w:val="20"/>
                <w:szCs w:val="20"/>
              </w:rPr>
              <w:t xml:space="preserve">5.5 </w:t>
            </w:r>
          </w:p>
        </w:tc>
        <w:tc>
          <w:tcPr>
            <w:tcW w:w="1347" w:type="dxa"/>
            <w:tcBorders>
              <w:top w:val="nil"/>
              <w:left w:val="nil"/>
              <w:bottom w:val="single" w:color="auto" w:sz="4" w:space="0"/>
              <w:right w:val="single" w:color="auto" w:sz="4" w:space="0"/>
            </w:tcBorders>
            <w:vAlign w:val="center"/>
          </w:tcPr>
          <w:p w14:paraId="18D1980F">
            <w:pPr>
              <w:spacing w:line="300" w:lineRule="exact"/>
              <w:jc w:val="center"/>
              <w:rPr>
                <w:color w:val="000000"/>
                <w:sz w:val="20"/>
                <w:szCs w:val="20"/>
              </w:rPr>
            </w:pPr>
            <w:r>
              <w:rPr>
                <w:rFonts w:hint="eastAsia"/>
                <w:color w:val="000000"/>
                <w:sz w:val="20"/>
                <w:szCs w:val="20"/>
              </w:rPr>
              <w:t xml:space="preserve">22 </w:t>
            </w:r>
          </w:p>
        </w:tc>
        <w:tc>
          <w:tcPr>
            <w:tcW w:w="1347" w:type="dxa"/>
            <w:tcBorders>
              <w:top w:val="nil"/>
              <w:left w:val="nil"/>
              <w:bottom w:val="single" w:color="auto" w:sz="4" w:space="0"/>
              <w:right w:val="single" w:color="auto" w:sz="4" w:space="0"/>
            </w:tcBorders>
            <w:noWrap/>
            <w:vAlign w:val="center"/>
          </w:tcPr>
          <w:p w14:paraId="41294F46">
            <w:pPr>
              <w:spacing w:line="300" w:lineRule="exact"/>
              <w:jc w:val="center"/>
              <w:rPr>
                <w:color w:val="000000"/>
                <w:sz w:val="20"/>
                <w:szCs w:val="20"/>
              </w:rPr>
            </w:pPr>
            <w:r>
              <w:rPr>
                <w:rFonts w:hint="eastAsia"/>
                <w:color w:val="000000"/>
                <w:sz w:val="20"/>
                <w:szCs w:val="20"/>
              </w:rPr>
              <w:t xml:space="preserve">19 </w:t>
            </w:r>
          </w:p>
        </w:tc>
        <w:tc>
          <w:tcPr>
            <w:tcW w:w="1703" w:type="dxa"/>
            <w:tcBorders>
              <w:top w:val="nil"/>
              <w:left w:val="nil"/>
              <w:bottom w:val="single" w:color="auto" w:sz="4" w:space="0"/>
              <w:right w:val="single" w:color="auto" w:sz="4" w:space="0"/>
            </w:tcBorders>
            <w:noWrap/>
            <w:vAlign w:val="center"/>
          </w:tcPr>
          <w:p w14:paraId="1E5A13AE">
            <w:pPr>
              <w:spacing w:line="300" w:lineRule="exact"/>
              <w:jc w:val="center"/>
              <w:rPr>
                <w:rFonts w:ascii="宋体" w:hAnsi="宋体" w:cs="宋体"/>
                <w:color w:val="000000"/>
                <w:kern w:val="0"/>
                <w:sz w:val="24"/>
              </w:rPr>
            </w:pPr>
            <w:r>
              <w:rPr>
                <w:rFonts w:hint="eastAsia" w:ascii="宋体" w:hAnsi="宋体" w:cs="宋体"/>
                <w:color w:val="000000"/>
                <w:kern w:val="0"/>
                <w:sz w:val="24"/>
              </w:rPr>
              <w:t>13</w:t>
            </w:r>
          </w:p>
        </w:tc>
        <w:tc>
          <w:tcPr>
            <w:tcW w:w="723" w:type="dxa"/>
            <w:tcBorders>
              <w:top w:val="nil"/>
              <w:left w:val="nil"/>
              <w:bottom w:val="single" w:color="auto" w:sz="4" w:space="0"/>
              <w:right w:val="single" w:color="auto" w:sz="4" w:space="0"/>
            </w:tcBorders>
            <w:noWrap/>
            <w:vAlign w:val="center"/>
          </w:tcPr>
          <w:p w14:paraId="67E42DE7">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已有</w:t>
            </w:r>
            <w:r>
              <w:rPr>
                <w:rFonts w:ascii="宋体" w:hAnsi="宋体" w:cs="宋体"/>
                <w:color w:val="000000"/>
                <w:kern w:val="0"/>
                <w:sz w:val="22"/>
                <w:szCs w:val="22"/>
              </w:rPr>
              <w:t>3</w:t>
            </w:r>
            <w:r>
              <w:rPr>
                <w:rFonts w:hint="eastAsia" w:ascii="宋体" w:hAnsi="宋体" w:cs="宋体"/>
                <w:color w:val="000000"/>
                <w:kern w:val="0"/>
                <w:sz w:val="22"/>
                <w:szCs w:val="22"/>
              </w:rPr>
              <w:t>个　</w:t>
            </w:r>
          </w:p>
        </w:tc>
      </w:tr>
      <w:tr w14:paraId="2AD90946">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27DFAD8A">
            <w:pPr>
              <w:spacing w:line="300" w:lineRule="exact"/>
              <w:jc w:val="center"/>
              <w:rPr>
                <w:rFonts w:ascii="宋体" w:hAnsi="宋体" w:cs="宋体"/>
                <w:color w:val="000000"/>
                <w:kern w:val="0"/>
                <w:sz w:val="24"/>
              </w:rPr>
            </w:pPr>
            <w:r>
              <w:rPr>
                <w:rFonts w:hint="eastAsia" w:ascii="宋体" w:hAnsi="宋体" w:cs="宋体"/>
                <w:color w:val="000000"/>
                <w:kern w:val="0"/>
                <w:sz w:val="24"/>
              </w:rPr>
              <w:t>8</w:t>
            </w:r>
          </w:p>
        </w:tc>
        <w:tc>
          <w:tcPr>
            <w:tcW w:w="1823" w:type="dxa"/>
            <w:tcBorders>
              <w:top w:val="nil"/>
              <w:left w:val="nil"/>
              <w:bottom w:val="single" w:color="auto" w:sz="4" w:space="0"/>
              <w:right w:val="single" w:color="auto" w:sz="4" w:space="0"/>
            </w:tcBorders>
            <w:vAlign w:val="center"/>
          </w:tcPr>
          <w:p w14:paraId="15F84D81">
            <w:pPr>
              <w:spacing w:line="300" w:lineRule="exact"/>
              <w:jc w:val="center"/>
              <w:rPr>
                <w:rFonts w:ascii="宋体" w:hAnsi="宋体" w:cs="宋体"/>
                <w:color w:val="000000"/>
                <w:kern w:val="0"/>
                <w:sz w:val="24"/>
              </w:rPr>
            </w:pPr>
            <w:r>
              <w:rPr>
                <w:rFonts w:hint="eastAsia" w:ascii="宋体" w:hAnsi="宋体" w:cs="宋体"/>
                <w:color w:val="000000"/>
                <w:kern w:val="0"/>
                <w:sz w:val="24"/>
              </w:rPr>
              <w:t>大同乡</w:t>
            </w:r>
          </w:p>
        </w:tc>
        <w:tc>
          <w:tcPr>
            <w:tcW w:w="1625" w:type="dxa"/>
            <w:tcBorders>
              <w:top w:val="nil"/>
              <w:left w:val="nil"/>
              <w:bottom w:val="single" w:color="auto" w:sz="4" w:space="0"/>
              <w:right w:val="single" w:color="auto" w:sz="4" w:space="0"/>
            </w:tcBorders>
            <w:vAlign w:val="center"/>
          </w:tcPr>
          <w:p w14:paraId="5E7F01E1">
            <w:pPr>
              <w:spacing w:line="300" w:lineRule="exact"/>
              <w:jc w:val="center"/>
              <w:rPr>
                <w:color w:val="000000"/>
                <w:sz w:val="20"/>
                <w:szCs w:val="20"/>
              </w:rPr>
            </w:pPr>
            <w:r>
              <w:rPr>
                <w:rFonts w:hint="eastAsia"/>
                <w:color w:val="000000"/>
                <w:sz w:val="20"/>
                <w:szCs w:val="20"/>
              </w:rPr>
              <w:t xml:space="preserve">3.5 </w:t>
            </w:r>
          </w:p>
        </w:tc>
        <w:tc>
          <w:tcPr>
            <w:tcW w:w="1347" w:type="dxa"/>
            <w:tcBorders>
              <w:top w:val="nil"/>
              <w:left w:val="nil"/>
              <w:bottom w:val="single" w:color="auto" w:sz="4" w:space="0"/>
              <w:right w:val="single" w:color="auto" w:sz="4" w:space="0"/>
            </w:tcBorders>
            <w:vAlign w:val="center"/>
          </w:tcPr>
          <w:p w14:paraId="6A469A36">
            <w:pPr>
              <w:spacing w:line="300" w:lineRule="exact"/>
              <w:jc w:val="center"/>
              <w:rPr>
                <w:color w:val="000000"/>
                <w:sz w:val="20"/>
                <w:szCs w:val="20"/>
              </w:rPr>
            </w:pPr>
            <w:r>
              <w:rPr>
                <w:rFonts w:hint="eastAsia"/>
                <w:color w:val="000000"/>
                <w:sz w:val="20"/>
                <w:szCs w:val="20"/>
              </w:rPr>
              <w:t xml:space="preserve">14 </w:t>
            </w:r>
          </w:p>
        </w:tc>
        <w:tc>
          <w:tcPr>
            <w:tcW w:w="1347" w:type="dxa"/>
            <w:tcBorders>
              <w:top w:val="nil"/>
              <w:left w:val="nil"/>
              <w:bottom w:val="single" w:color="auto" w:sz="4" w:space="0"/>
              <w:right w:val="single" w:color="auto" w:sz="4" w:space="0"/>
            </w:tcBorders>
            <w:noWrap/>
            <w:vAlign w:val="center"/>
          </w:tcPr>
          <w:p w14:paraId="6CC7B953">
            <w:pPr>
              <w:spacing w:line="300" w:lineRule="exact"/>
              <w:jc w:val="center"/>
              <w:rPr>
                <w:color w:val="000000"/>
                <w:sz w:val="20"/>
                <w:szCs w:val="20"/>
              </w:rPr>
            </w:pPr>
            <w:r>
              <w:rPr>
                <w:rFonts w:hint="eastAsia"/>
                <w:color w:val="000000"/>
                <w:sz w:val="20"/>
                <w:szCs w:val="20"/>
              </w:rPr>
              <w:t xml:space="preserve">12 </w:t>
            </w:r>
          </w:p>
        </w:tc>
        <w:tc>
          <w:tcPr>
            <w:tcW w:w="1703" w:type="dxa"/>
            <w:tcBorders>
              <w:top w:val="nil"/>
              <w:left w:val="nil"/>
              <w:bottom w:val="single" w:color="auto" w:sz="4" w:space="0"/>
              <w:right w:val="single" w:color="auto" w:sz="4" w:space="0"/>
            </w:tcBorders>
            <w:noWrap/>
            <w:vAlign w:val="center"/>
          </w:tcPr>
          <w:p w14:paraId="3350DA62">
            <w:pPr>
              <w:spacing w:line="300" w:lineRule="exact"/>
              <w:jc w:val="center"/>
              <w:rPr>
                <w:rFonts w:ascii="宋体" w:hAnsi="宋体" w:cs="宋体"/>
                <w:color w:val="000000"/>
                <w:kern w:val="0"/>
                <w:sz w:val="24"/>
              </w:rPr>
            </w:pPr>
            <w:r>
              <w:rPr>
                <w:rFonts w:hint="eastAsia" w:ascii="宋体" w:hAnsi="宋体" w:cs="宋体"/>
                <w:color w:val="000000"/>
                <w:kern w:val="0"/>
                <w:sz w:val="24"/>
              </w:rPr>
              <w:t>9</w:t>
            </w:r>
          </w:p>
        </w:tc>
        <w:tc>
          <w:tcPr>
            <w:tcW w:w="723" w:type="dxa"/>
            <w:tcBorders>
              <w:top w:val="nil"/>
              <w:left w:val="nil"/>
              <w:bottom w:val="single" w:color="auto" w:sz="4" w:space="0"/>
              <w:right w:val="single" w:color="auto" w:sz="4" w:space="0"/>
            </w:tcBorders>
            <w:noWrap/>
            <w:vAlign w:val="center"/>
          </w:tcPr>
          <w:p w14:paraId="7F946F9E">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62D3E7F">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0DED0036">
            <w:pPr>
              <w:spacing w:line="300" w:lineRule="exact"/>
              <w:jc w:val="center"/>
              <w:rPr>
                <w:rFonts w:ascii="宋体" w:hAnsi="宋体" w:cs="宋体"/>
                <w:color w:val="000000"/>
                <w:kern w:val="0"/>
                <w:sz w:val="24"/>
              </w:rPr>
            </w:pPr>
            <w:r>
              <w:rPr>
                <w:rFonts w:hint="eastAsia" w:ascii="宋体" w:hAnsi="宋体" w:cs="宋体"/>
                <w:color w:val="000000"/>
                <w:kern w:val="0"/>
                <w:sz w:val="24"/>
              </w:rPr>
              <w:t>9</w:t>
            </w:r>
          </w:p>
        </w:tc>
        <w:tc>
          <w:tcPr>
            <w:tcW w:w="1823" w:type="dxa"/>
            <w:tcBorders>
              <w:top w:val="nil"/>
              <w:left w:val="nil"/>
              <w:bottom w:val="single" w:color="auto" w:sz="4" w:space="0"/>
              <w:right w:val="single" w:color="auto" w:sz="4" w:space="0"/>
            </w:tcBorders>
            <w:vAlign w:val="center"/>
          </w:tcPr>
          <w:p w14:paraId="00655BE0">
            <w:pPr>
              <w:spacing w:line="300" w:lineRule="exact"/>
              <w:jc w:val="center"/>
              <w:rPr>
                <w:rFonts w:ascii="宋体" w:hAnsi="宋体" w:cs="宋体"/>
                <w:color w:val="000000"/>
                <w:kern w:val="0"/>
                <w:sz w:val="24"/>
              </w:rPr>
            </w:pPr>
            <w:r>
              <w:rPr>
                <w:rFonts w:hint="eastAsia" w:ascii="宋体" w:hAnsi="宋体" w:cs="宋体"/>
                <w:color w:val="000000"/>
                <w:kern w:val="0"/>
                <w:sz w:val="24"/>
              </w:rPr>
              <w:t>茅坪镇</w:t>
            </w:r>
          </w:p>
        </w:tc>
        <w:tc>
          <w:tcPr>
            <w:tcW w:w="1625" w:type="dxa"/>
            <w:tcBorders>
              <w:top w:val="nil"/>
              <w:left w:val="nil"/>
              <w:bottom w:val="single" w:color="auto" w:sz="4" w:space="0"/>
              <w:right w:val="single" w:color="auto" w:sz="4" w:space="0"/>
            </w:tcBorders>
            <w:vAlign w:val="center"/>
          </w:tcPr>
          <w:p w14:paraId="347557FF">
            <w:pPr>
              <w:spacing w:line="300" w:lineRule="exact"/>
              <w:jc w:val="center"/>
              <w:rPr>
                <w:color w:val="000000"/>
                <w:sz w:val="20"/>
                <w:szCs w:val="20"/>
              </w:rPr>
            </w:pPr>
            <w:r>
              <w:rPr>
                <w:rFonts w:hint="eastAsia"/>
                <w:color w:val="000000"/>
                <w:sz w:val="20"/>
                <w:szCs w:val="20"/>
              </w:rPr>
              <w:t xml:space="preserve">3.0 </w:t>
            </w:r>
          </w:p>
        </w:tc>
        <w:tc>
          <w:tcPr>
            <w:tcW w:w="1347" w:type="dxa"/>
            <w:tcBorders>
              <w:top w:val="nil"/>
              <w:left w:val="nil"/>
              <w:bottom w:val="single" w:color="auto" w:sz="4" w:space="0"/>
              <w:right w:val="single" w:color="auto" w:sz="4" w:space="0"/>
            </w:tcBorders>
            <w:vAlign w:val="center"/>
          </w:tcPr>
          <w:p w14:paraId="1A663DC9">
            <w:pPr>
              <w:spacing w:line="300" w:lineRule="exact"/>
              <w:jc w:val="center"/>
              <w:rPr>
                <w:color w:val="000000"/>
                <w:sz w:val="20"/>
                <w:szCs w:val="20"/>
              </w:rPr>
            </w:pPr>
            <w:r>
              <w:rPr>
                <w:rFonts w:hint="eastAsia"/>
                <w:color w:val="000000"/>
                <w:sz w:val="20"/>
                <w:szCs w:val="20"/>
              </w:rPr>
              <w:t xml:space="preserve">12 </w:t>
            </w:r>
          </w:p>
        </w:tc>
        <w:tc>
          <w:tcPr>
            <w:tcW w:w="1347" w:type="dxa"/>
            <w:tcBorders>
              <w:top w:val="nil"/>
              <w:left w:val="nil"/>
              <w:bottom w:val="single" w:color="auto" w:sz="4" w:space="0"/>
              <w:right w:val="single" w:color="auto" w:sz="4" w:space="0"/>
            </w:tcBorders>
            <w:noWrap/>
            <w:vAlign w:val="center"/>
          </w:tcPr>
          <w:p w14:paraId="227F17DF">
            <w:pPr>
              <w:spacing w:line="300" w:lineRule="exact"/>
              <w:jc w:val="center"/>
              <w:rPr>
                <w:color w:val="000000"/>
                <w:sz w:val="20"/>
                <w:szCs w:val="20"/>
              </w:rPr>
            </w:pPr>
            <w:r>
              <w:rPr>
                <w:rFonts w:hint="eastAsia"/>
                <w:color w:val="000000"/>
                <w:sz w:val="20"/>
                <w:szCs w:val="20"/>
              </w:rPr>
              <w:t xml:space="preserve">10 </w:t>
            </w:r>
          </w:p>
        </w:tc>
        <w:tc>
          <w:tcPr>
            <w:tcW w:w="1703" w:type="dxa"/>
            <w:tcBorders>
              <w:top w:val="nil"/>
              <w:left w:val="nil"/>
              <w:bottom w:val="single" w:color="auto" w:sz="4" w:space="0"/>
              <w:right w:val="single" w:color="auto" w:sz="4" w:space="0"/>
            </w:tcBorders>
            <w:noWrap/>
            <w:vAlign w:val="center"/>
          </w:tcPr>
          <w:p w14:paraId="393A35EC">
            <w:pPr>
              <w:spacing w:line="300" w:lineRule="exact"/>
              <w:jc w:val="center"/>
              <w:rPr>
                <w:rFonts w:ascii="宋体" w:hAnsi="宋体" w:cs="宋体"/>
                <w:color w:val="000000"/>
                <w:kern w:val="0"/>
                <w:sz w:val="24"/>
              </w:rPr>
            </w:pPr>
            <w:r>
              <w:rPr>
                <w:rFonts w:hint="eastAsia" w:ascii="宋体" w:hAnsi="宋体" w:cs="宋体"/>
                <w:color w:val="000000"/>
                <w:kern w:val="0"/>
                <w:sz w:val="24"/>
              </w:rPr>
              <w:t>9</w:t>
            </w:r>
          </w:p>
        </w:tc>
        <w:tc>
          <w:tcPr>
            <w:tcW w:w="723" w:type="dxa"/>
            <w:tcBorders>
              <w:top w:val="nil"/>
              <w:left w:val="nil"/>
              <w:bottom w:val="single" w:color="auto" w:sz="4" w:space="0"/>
              <w:right w:val="single" w:color="auto" w:sz="4" w:space="0"/>
            </w:tcBorders>
            <w:noWrap/>
            <w:vAlign w:val="center"/>
          </w:tcPr>
          <w:p w14:paraId="5FA42B7C">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BDEBE11">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5683981B">
            <w:pPr>
              <w:spacing w:line="300" w:lineRule="exact"/>
              <w:jc w:val="center"/>
              <w:rPr>
                <w:rFonts w:ascii="宋体" w:hAnsi="宋体" w:cs="宋体"/>
                <w:color w:val="000000"/>
                <w:kern w:val="0"/>
                <w:sz w:val="24"/>
              </w:rPr>
            </w:pPr>
            <w:r>
              <w:rPr>
                <w:rFonts w:hint="eastAsia" w:ascii="宋体" w:hAnsi="宋体" w:cs="宋体"/>
                <w:color w:val="000000"/>
                <w:kern w:val="0"/>
                <w:sz w:val="24"/>
              </w:rPr>
              <w:t>10</w:t>
            </w:r>
          </w:p>
        </w:tc>
        <w:tc>
          <w:tcPr>
            <w:tcW w:w="1823" w:type="dxa"/>
            <w:tcBorders>
              <w:top w:val="nil"/>
              <w:left w:val="nil"/>
              <w:bottom w:val="single" w:color="auto" w:sz="4" w:space="0"/>
              <w:right w:val="single" w:color="auto" w:sz="4" w:space="0"/>
            </w:tcBorders>
            <w:vAlign w:val="center"/>
          </w:tcPr>
          <w:p w14:paraId="7B2ACDFE">
            <w:pPr>
              <w:spacing w:line="300" w:lineRule="exact"/>
              <w:jc w:val="center"/>
              <w:rPr>
                <w:rFonts w:ascii="宋体" w:hAnsi="宋体" w:cs="宋体"/>
                <w:color w:val="000000"/>
                <w:kern w:val="0"/>
                <w:sz w:val="24"/>
              </w:rPr>
            </w:pPr>
            <w:r>
              <w:rPr>
                <w:rFonts w:hint="eastAsia" w:ascii="宋体" w:hAnsi="宋体" w:cs="宋体"/>
                <w:color w:val="000000"/>
                <w:kern w:val="0"/>
                <w:sz w:val="24"/>
              </w:rPr>
              <w:t>偶里乡</w:t>
            </w:r>
          </w:p>
        </w:tc>
        <w:tc>
          <w:tcPr>
            <w:tcW w:w="1625" w:type="dxa"/>
            <w:tcBorders>
              <w:top w:val="nil"/>
              <w:left w:val="nil"/>
              <w:bottom w:val="single" w:color="auto" w:sz="4" w:space="0"/>
              <w:right w:val="single" w:color="auto" w:sz="4" w:space="0"/>
            </w:tcBorders>
            <w:vAlign w:val="center"/>
          </w:tcPr>
          <w:p w14:paraId="3C8B48B0">
            <w:pPr>
              <w:spacing w:line="300" w:lineRule="exact"/>
              <w:jc w:val="center"/>
              <w:rPr>
                <w:color w:val="000000"/>
                <w:sz w:val="20"/>
                <w:szCs w:val="20"/>
              </w:rPr>
            </w:pPr>
            <w:r>
              <w:rPr>
                <w:rFonts w:hint="eastAsia"/>
                <w:color w:val="000000"/>
                <w:sz w:val="20"/>
                <w:szCs w:val="20"/>
              </w:rPr>
              <w:t xml:space="preserve">3.0 </w:t>
            </w:r>
          </w:p>
        </w:tc>
        <w:tc>
          <w:tcPr>
            <w:tcW w:w="1347" w:type="dxa"/>
            <w:tcBorders>
              <w:top w:val="nil"/>
              <w:left w:val="nil"/>
              <w:bottom w:val="single" w:color="auto" w:sz="4" w:space="0"/>
              <w:right w:val="single" w:color="auto" w:sz="4" w:space="0"/>
            </w:tcBorders>
            <w:vAlign w:val="center"/>
          </w:tcPr>
          <w:p w14:paraId="1AEFA15B">
            <w:pPr>
              <w:spacing w:line="300" w:lineRule="exact"/>
              <w:jc w:val="center"/>
              <w:rPr>
                <w:color w:val="000000"/>
                <w:sz w:val="20"/>
                <w:szCs w:val="20"/>
              </w:rPr>
            </w:pPr>
            <w:r>
              <w:rPr>
                <w:rFonts w:hint="eastAsia"/>
                <w:color w:val="000000"/>
                <w:sz w:val="20"/>
                <w:szCs w:val="20"/>
              </w:rPr>
              <w:t xml:space="preserve">12 </w:t>
            </w:r>
          </w:p>
        </w:tc>
        <w:tc>
          <w:tcPr>
            <w:tcW w:w="1347" w:type="dxa"/>
            <w:tcBorders>
              <w:top w:val="nil"/>
              <w:left w:val="nil"/>
              <w:bottom w:val="single" w:color="auto" w:sz="4" w:space="0"/>
              <w:right w:val="single" w:color="auto" w:sz="4" w:space="0"/>
            </w:tcBorders>
            <w:noWrap/>
            <w:vAlign w:val="center"/>
          </w:tcPr>
          <w:p w14:paraId="64C1B242">
            <w:pPr>
              <w:spacing w:line="300" w:lineRule="exact"/>
              <w:jc w:val="center"/>
              <w:rPr>
                <w:color w:val="000000"/>
                <w:sz w:val="20"/>
                <w:szCs w:val="20"/>
              </w:rPr>
            </w:pPr>
            <w:r>
              <w:rPr>
                <w:rFonts w:hint="eastAsia"/>
                <w:color w:val="000000"/>
                <w:sz w:val="20"/>
                <w:szCs w:val="20"/>
              </w:rPr>
              <w:t xml:space="preserve">10 </w:t>
            </w:r>
          </w:p>
        </w:tc>
        <w:tc>
          <w:tcPr>
            <w:tcW w:w="1703" w:type="dxa"/>
            <w:tcBorders>
              <w:top w:val="nil"/>
              <w:left w:val="nil"/>
              <w:bottom w:val="single" w:color="auto" w:sz="4" w:space="0"/>
              <w:right w:val="single" w:color="auto" w:sz="4" w:space="0"/>
            </w:tcBorders>
            <w:noWrap/>
            <w:vAlign w:val="center"/>
          </w:tcPr>
          <w:p w14:paraId="4DA6EB74">
            <w:pPr>
              <w:spacing w:line="300" w:lineRule="exact"/>
              <w:jc w:val="center"/>
              <w:rPr>
                <w:rFonts w:ascii="宋体" w:hAnsi="宋体" w:cs="宋体"/>
                <w:color w:val="000000"/>
                <w:kern w:val="0"/>
                <w:sz w:val="24"/>
              </w:rPr>
            </w:pPr>
            <w:r>
              <w:rPr>
                <w:rFonts w:hint="eastAsia" w:ascii="宋体" w:hAnsi="宋体" w:cs="宋体"/>
                <w:color w:val="000000"/>
                <w:kern w:val="0"/>
                <w:sz w:val="24"/>
              </w:rPr>
              <w:t>9</w:t>
            </w:r>
          </w:p>
        </w:tc>
        <w:tc>
          <w:tcPr>
            <w:tcW w:w="723" w:type="dxa"/>
            <w:tcBorders>
              <w:top w:val="nil"/>
              <w:left w:val="nil"/>
              <w:bottom w:val="single" w:color="auto" w:sz="4" w:space="0"/>
              <w:right w:val="single" w:color="auto" w:sz="4" w:space="0"/>
            </w:tcBorders>
            <w:noWrap/>
            <w:vAlign w:val="center"/>
          </w:tcPr>
          <w:p w14:paraId="6B8C7645">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DBE09F4">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749DCB4A">
            <w:pPr>
              <w:spacing w:line="300" w:lineRule="exact"/>
              <w:jc w:val="center"/>
              <w:rPr>
                <w:rFonts w:ascii="宋体" w:hAnsi="宋体" w:cs="宋体"/>
                <w:color w:val="000000"/>
                <w:kern w:val="0"/>
                <w:sz w:val="24"/>
              </w:rPr>
            </w:pPr>
            <w:r>
              <w:rPr>
                <w:rFonts w:hint="eastAsia" w:ascii="宋体" w:hAnsi="宋体" w:cs="宋体"/>
                <w:color w:val="000000"/>
                <w:kern w:val="0"/>
                <w:sz w:val="24"/>
              </w:rPr>
              <w:t>11</w:t>
            </w:r>
          </w:p>
        </w:tc>
        <w:tc>
          <w:tcPr>
            <w:tcW w:w="1823" w:type="dxa"/>
            <w:tcBorders>
              <w:top w:val="nil"/>
              <w:left w:val="nil"/>
              <w:bottom w:val="single" w:color="auto" w:sz="4" w:space="0"/>
              <w:right w:val="single" w:color="auto" w:sz="4" w:space="0"/>
            </w:tcBorders>
            <w:vAlign w:val="center"/>
          </w:tcPr>
          <w:p w14:paraId="4313F0A1">
            <w:pPr>
              <w:spacing w:line="300" w:lineRule="exact"/>
              <w:jc w:val="center"/>
              <w:rPr>
                <w:rFonts w:ascii="宋体" w:hAnsi="宋体" w:cs="宋体"/>
                <w:color w:val="000000"/>
                <w:kern w:val="0"/>
                <w:sz w:val="24"/>
              </w:rPr>
            </w:pPr>
            <w:r>
              <w:rPr>
                <w:rFonts w:hint="eastAsia" w:ascii="宋体" w:hAnsi="宋体" w:cs="宋体"/>
                <w:color w:val="000000"/>
                <w:kern w:val="0"/>
                <w:sz w:val="24"/>
              </w:rPr>
              <w:t>三江镇</w:t>
            </w:r>
          </w:p>
        </w:tc>
        <w:tc>
          <w:tcPr>
            <w:tcW w:w="1625" w:type="dxa"/>
            <w:tcBorders>
              <w:top w:val="nil"/>
              <w:left w:val="nil"/>
              <w:bottom w:val="single" w:color="auto" w:sz="4" w:space="0"/>
              <w:right w:val="single" w:color="auto" w:sz="4" w:space="0"/>
            </w:tcBorders>
            <w:vAlign w:val="center"/>
          </w:tcPr>
          <w:p w14:paraId="49F927C0">
            <w:pPr>
              <w:spacing w:line="300" w:lineRule="exact"/>
              <w:jc w:val="center"/>
              <w:rPr>
                <w:color w:val="000000"/>
                <w:sz w:val="20"/>
                <w:szCs w:val="20"/>
              </w:rPr>
            </w:pPr>
            <w:r>
              <w:rPr>
                <w:rFonts w:hint="eastAsia"/>
                <w:color w:val="000000"/>
                <w:sz w:val="20"/>
                <w:szCs w:val="20"/>
              </w:rPr>
              <w:t xml:space="preserve">3.0 </w:t>
            </w:r>
          </w:p>
        </w:tc>
        <w:tc>
          <w:tcPr>
            <w:tcW w:w="1347" w:type="dxa"/>
            <w:tcBorders>
              <w:top w:val="nil"/>
              <w:left w:val="nil"/>
              <w:bottom w:val="single" w:color="auto" w:sz="4" w:space="0"/>
              <w:right w:val="single" w:color="auto" w:sz="4" w:space="0"/>
            </w:tcBorders>
            <w:vAlign w:val="center"/>
          </w:tcPr>
          <w:p w14:paraId="352094CA">
            <w:pPr>
              <w:spacing w:line="300" w:lineRule="exact"/>
              <w:jc w:val="center"/>
              <w:rPr>
                <w:color w:val="000000"/>
                <w:sz w:val="20"/>
                <w:szCs w:val="20"/>
              </w:rPr>
            </w:pPr>
            <w:r>
              <w:rPr>
                <w:rFonts w:hint="eastAsia"/>
                <w:color w:val="000000"/>
                <w:sz w:val="20"/>
                <w:szCs w:val="20"/>
              </w:rPr>
              <w:t xml:space="preserve">12 </w:t>
            </w:r>
          </w:p>
        </w:tc>
        <w:tc>
          <w:tcPr>
            <w:tcW w:w="1347" w:type="dxa"/>
            <w:tcBorders>
              <w:top w:val="nil"/>
              <w:left w:val="nil"/>
              <w:bottom w:val="single" w:color="auto" w:sz="4" w:space="0"/>
              <w:right w:val="single" w:color="auto" w:sz="4" w:space="0"/>
            </w:tcBorders>
            <w:noWrap/>
            <w:vAlign w:val="center"/>
          </w:tcPr>
          <w:p w14:paraId="5F203F74">
            <w:pPr>
              <w:spacing w:line="300" w:lineRule="exact"/>
              <w:jc w:val="center"/>
              <w:rPr>
                <w:color w:val="000000"/>
                <w:sz w:val="20"/>
                <w:szCs w:val="20"/>
              </w:rPr>
            </w:pPr>
            <w:r>
              <w:rPr>
                <w:rFonts w:hint="eastAsia"/>
                <w:color w:val="000000"/>
                <w:sz w:val="20"/>
                <w:szCs w:val="20"/>
              </w:rPr>
              <w:t xml:space="preserve">10 </w:t>
            </w:r>
          </w:p>
        </w:tc>
        <w:tc>
          <w:tcPr>
            <w:tcW w:w="1703" w:type="dxa"/>
            <w:tcBorders>
              <w:top w:val="nil"/>
              <w:left w:val="nil"/>
              <w:bottom w:val="single" w:color="auto" w:sz="4" w:space="0"/>
              <w:right w:val="single" w:color="auto" w:sz="4" w:space="0"/>
            </w:tcBorders>
            <w:noWrap/>
            <w:vAlign w:val="center"/>
          </w:tcPr>
          <w:p w14:paraId="497315DE">
            <w:pPr>
              <w:spacing w:line="300" w:lineRule="exact"/>
              <w:jc w:val="center"/>
              <w:rPr>
                <w:rFonts w:ascii="宋体" w:hAnsi="宋体" w:cs="宋体"/>
                <w:color w:val="000000"/>
                <w:kern w:val="0"/>
                <w:sz w:val="24"/>
              </w:rPr>
            </w:pPr>
            <w:r>
              <w:rPr>
                <w:rFonts w:hint="eastAsia" w:ascii="宋体" w:hAnsi="宋体" w:cs="宋体"/>
                <w:color w:val="000000"/>
                <w:kern w:val="0"/>
                <w:sz w:val="24"/>
              </w:rPr>
              <w:t>4</w:t>
            </w:r>
          </w:p>
        </w:tc>
        <w:tc>
          <w:tcPr>
            <w:tcW w:w="723" w:type="dxa"/>
            <w:tcBorders>
              <w:top w:val="nil"/>
              <w:left w:val="nil"/>
              <w:bottom w:val="single" w:color="auto" w:sz="4" w:space="0"/>
              <w:right w:val="single" w:color="auto" w:sz="4" w:space="0"/>
            </w:tcBorders>
            <w:noWrap/>
            <w:vAlign w:val="center"/>
          </w:tcPr>
          <w:p w14:paraId="23438B27">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已有</w:t>
            </w:r>
            <w:r>
              <w:rPr>
                <w:rFonts w:ascii="宋体" w:hAnsi="宋体" w:cs="宋体"/>
                <w:color w:val="000000"/>
                <w:kern w:val="0"/>
                <w:sz w:val="22"/>
                <w:szCs w:val="22"/>
              </w:rPr>
              <w:t>5</w:t>
            </w:r>
            <w:r>
              <w:rPr>
                <w:rFonts w:hint="eastAsia" w:ascii="宋体" w:hAnsi="宋体" w:cs="宋体"/>
                <w:color w:val="000000"/>
                <w:kern w:val="0"/>
                <w:sz w:val="22"/>
                <w:szCs w:val="22"/>
              </w:rPr>
              <w:t>个　</w:t>
            </w:r>
          </w:p>
        </w:tc>
      </w:tr>
      <w:tr w14:paraId="1FE8029A">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407822AE">
            <w:pPr>
              <w:spacing w:line="300" w:lineRule="exact"/>
              <w:jc w:val="center"/>
              <w:rPr>
                <w:rFonts w:ascii="宋体" w:hAnsi="宋体" w:cs="宋体"/>
                <w:color w:val="000000"/>
                <w:kern w:val="0"/>
                <w:sz w:val="24"/>
              </w:rPr>
            </w:pPr>
            <w:r>
              <w:rPr>
                <w:rFonts w:hint="eastAsia" w:ascii="宋体" w:hAnsi="宋体" w:cs="宋体"/>
                <w:color w:val="000000"/>
                <w:kern w:val="0"/>
                <w:sz w:val="24"/>
              </w:rPr>
              <w:t>12</w:t>
            </w:r>
          </w:p>
        </w:tc>
        <w:tc>
          <w:tcPr>
            <w:tcW w:w="1823" w:type="dxa"/>
            <w:tcBorders>
              <w:top w:val="nil"/>
              <w:left w:val="nil"/>
              <w:bottom w:val="single" w:color="auto" w:sz="4" w:space="0"/>
              <w:right w:val="single" w:color="auto" w:sz="4" w:space="0"/>
            </w:tcBorders>
            <w:vAlign w:val="center"/>
          </w:tcPr>
          <w:p w14:paraId="39530EC4">
            <w:pPr>
              <w:spacing w:line="300" w:lineRule="exact"/>
              <w:jc w:val="center"/>
              <w:rPr>
                <w:rFonts w:ascii="宋体" w:hAnsi="宋体" w:cs="宋体"/>
                <w:color w:val="000000"/>
                <w:kern w:val="0"/>
                <w:sz w:val="24"/>
              </w:rPr>
            </w:pPr>
            <w:r>
              <w:rPr>
                <w:rFonts w:hint="eastAsia" w:ascii="宋体" w:hAnsi="宋体" w:cs="宋体"/>
                <w:color w:val="000000"/>
                <w:kern w:val="0"/>
                <w:sz w:val="24"/>
              </w:rPr>
              <w:t>平略镇</w:t>
            </w:r>
          </w:p>
        </w:tc>
        <w:tc>
          <w:tcPr>
            <w:tcW w:w="1625" w:type="dxa"/>
            <w:tcBorders>
              <w:top w:val="nil"/>
              <w:left w:val="nil"/>
              <w:bottom w:val="single" w:color="auto" w:sz="4" w:space="0"/>
              <w:right w:val="single" w:color="auto" w:sz="4" w:space="0"/>
            </w:tcBorders>
            <w:vAlign w:val="center"/>
          </w:tcPr>
          <w:p w14:paraId="66B65A9F">
            <w:pPr>
              <w:spacing w:line="300" w:lineRule="exact"/>
              <w:jc w:val="center"/>
              <w:rPr>
                <w:color w:val="000000"/>
                <w:sz w:val="20"/>
                <w:szCs w:val="20"/>
              </w:rPr>
            </w:pPr>
            <w:r>
              <w:rPr>
                <w:rFonts w:hint="eastAsia"/>
                <w:color w:val="000000"/>
                <w:sz w:val="20"/>
                <w:szCs w:val="20"/>
              </w:rPr>
              <w:t xml:space="preserve">2.5 </w:t>
            </w:r>
          </w:p>
        </w:tc>
        <w:tc>
          <w:tcPr>
            <w:tcW w:w="1347" w:type="dxa"/>
            <w:tcBorders>
              <w:top w:val="nil"/>
              <w:left w:val="nil"/>
              <w:bottom w:val="single" w:color="auto" w:sz="4" w:space="0"/>
              <w:right w:val="single" w:color="auto" w:sz="4" w:space="0"/>
            </w:tcBorders>
            <w:vAlign w:val="center"/>
          </w:tcPr>
          <w:p w14:paraId="45CFCA0C">
            <w:pPr>
              <w:spacing w:line="300" w:lineRule="exact"/>
              <w:jc w:val="center"/>
              <w:rPr>
                <w:color w:val="000000"/>
                <w:sz w:val="20"/>
                <w:szCs w:val="20"/>
              </w:rPr>
            </w:pPr>
            <w:r>
              <w:rPr>
                <w:rFonts w:hint="eastAsia"/>
                <w:color w:val="000000"/>
                <w:sz w:val="20"/>
                <w:szCs w:val="20"/>
              </w:rPr>
              <w:t xml:space="preserve">10 </w:t>
            </w:r>
          </w:p>
        </w:tc>
        <w:tc>
          <w:tcPr>
            <w:tcW w:w="1347" w:type="dxa"/>
            <w:tcBorders>
              <w:top w:val="nil"/>
              <w:left w:val="nil"/>
              <w:bottom w:val="single" w:color="auto" w:sz="4" w:space="0"/>
              <w:right w:val="single" w:color="auto" w:sz="4" w:space="0"/>
            </w:tcBorders>
            <w:noWrap/>
            <w:vAlign w:val="center"/>
          </w:tcPr>
          <w:p w14:paraId="6F52B4E3">
            <w:pPr>
              <w:spacing w:line="300" w:lineRule="exact"/>
              <w:jc w:val="center"/>
              <w:rPr>
                <w:color w:val="000000"/>
                <w:sz w:val="20"/>
                <w:szCs w:val="20"/>
              </w:rPr>
            </w:pPr>
            <w:r>
              <w:rPr>
                <w:rFonts w:hint="eastAsia"/>
                <w:color w:val="000000"/>
                <w:sz w:val="20"/>
                <w:szCs w:val="20"/>
              </w:rPr>
              <w:t xml:space="preserve">9 </w:t>
            </w:r>
          </w:p>
        </w:tc>
        <w:tc>
          <w:tcPr>
            <w:tcW w:w="1703" w:type="dxa"/>
            <w:tcBorders>
              <w:top w:val="nil"/>
              <w:left w:val="nil"/>
              <w:bottom w:val="single" w:color="auto" w:sz="4" w:space="0"/>
              <w:right w:val="single" w:color="auto" w:sz="4" w:space="0"/>
            </w:tcBorders>
            <w:noWrap/>
            <w:vAlign w:val="center"/>
          </w:tcPr>
          <w:p w14:paraId="6374F1C3">
            <w:pPr>
              <w:spacing w:line="300" w:lineRule="exact"/>
              <w:jc w:val="center"/>
              <w:rPr>
                <w:rFonts w:ascii="宋体" w:hAnsi="宋体" w:cs="宋体"/>
                <w:color w:val="000000"/>
                <w:kern w:val="0"/>
                <w:sz w:val="24"/>
              </w:rPr>
            </w:pPr>
            <w:r>
              <w:rPr>
                <w:rFonts w:hint="eastAsia" w:ascii="宋体" w:hAnsi="宋体" w:cs="宋体"/>
                <w:color w:val="000000"/>
                <w:kern w:val="0"/>
                <w:sz w:val="24"/>
              </w:rPr>
              <w:t>9</w:t>
            </w:r>
          </w:p>
        </w:tc>
        <w:tc>
          <w:tcPr>
            <w:tcW w:w="723" w:type="dxa"/>
            <w:tcBorders>
              <w:top w:val="nil"/>
              <w:left w:val="nil"/>
              <w:bottom w:val="single" w:color="auto" w:sz="4" w:space="0"/>
              <w:right w:val="single" w:color="auto" w:sz="4" w:space="0"/>
            </w:tcBorders>
            <w:noWrap/>
            <w:vAlign w:val="center"/>
          </w:tcPr>
          <w:p w14:paraId="563C7FF5">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E184157">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3398A852">
            <w:pPr>
              <w:spacing w:line="300" w:lineRule="exact"/>
              <w:jc w:val="center"/>
              <w:rPr>
                <w:rFonts w:ascii="宋体" w:hAnsi="宋体" w:cs="宋体"/>
                <w:color w:val="000000"/>
                <w:kern w:val="0"/>
                <w:sz w:val="24"/>
              </w:rPr>
            </w:pPr>
            <w:r>
              <w:rPr>
                <w:rFonts w:hint="eastAsia" w:ascii="宋体" w:hAnsi="宋体" w:cs="宋体"/>
                <w:color w:val="000000"/>
                <w:kern w:val="0"/>
                <w:sz w:val="24"/>
              </w:rPr>
              <w:t>13</w:t>
            </w:r>
          </w:p>
        </w:tc>
        <w:tc>
          <w:tcPr>
            <w:tcW w:w="1823" w:type="dxa"/>
            <w:tcBorders>
              <w:top w:val="nil"/>
              <w:left w:val="nil"/>
              <w:bottom w:val="single" w:color="auto" w:sz="4" w:space="0"/>
              <w:right w:val="single" w:color="auto" w:sz="4" w:space="0"/>
            </w:tcBorders>
            <w:vAlign w:val="center"/>
          </w:tcPr>
          <w:p w14:paraId="1604EF50">
            <w:pPr>
              <w:spacing w:line="300" w:lineRule="exact"/>
              <w:jc w:val="center"/>
              <w:rPr>
                <w:rFonts w:ascii="宋体" w:hAnsi="宋体" w:cs="宋体"/>
                <w:color w:val="000000"/>
                <w:kern w:val="0"/>
                <w:sz w:val="24"/>
              </w:rPr>
            </w:pPr>
            <w:r>
              <w:rPr>
                <w:rFonts w:hint="eastAsia" w:ascii="宋体" w:hAnsi="宋体" w:cs="宋体"/>
                <w:color w:val="000000"/>
                <w:kern w:val="0"/>
                <w:sz w:val="24"/>
              </w:rPr>
              <w:t>启蒙镇</w:t>
            </w:r>
          </w:p>
        </w:tc>
        <w:tc>
          <w:tcPr>
            <w:tcW w:w="1625" w:type="dxa"/>
            <w:tcBorders>
              <w:top w:val="nil"/>
              <w:left w:val="nil"/>
              <w:bottom w:val="single" w:color="auto" w:sz="4" w:space="0"/>
              <w:right w:val="single" w:color="auto" w:sz="4" w:space="0"/>
            </w:tcBorders>
            <w:vAlign w:val="center"/>
          </w:tcPr>
          <w:p w14:paraId="5E754CC5">
            <w:pPr>
              <w:spacing w:line="300" w:lineRule="exact"/>
              <w:jc w:val="center"/>
              <w:rPr>
                <w:color w:val="000000"/>
                <w:sz w:val="20"/>
                <w:szCs w:val="20"/>
              </w:rPr>
            </w:pPr>
            <w:r>
              <w:rPr>
                <w:rFonts w:hint="eastAsia"/>
                <w:color w:val="000000"/>
                <w:sz w:val="20"/>
                <w:szCs w:val="20"/>
              </w:rPr>
              <w:t xml:space="preserve">3.0 </w:t>
            </w:r>
          </w:p>
        </w:tc>
        <w:tc>
          <w:tcPr>
            <w:tcW w:w="1347" w:type="dxa"/>
            <w:tcBorders>
              <w:top w:val="nil"/>
              <w:left w:val="nil"/>
              <w:bottom w:val="single" w:color="auto" w:sz="4" w:space="0"/>
              <w:right w:val="single" w:color="auto" w:sz="4" w:space="0"/>
            </w:tcBorders>
            <w:vAlign w:val="center"/>
          </w:tcPr>
          <w:p w14:paraId="5DA5D817">
            <w:pPr>
              <w:spacing w:line="300" w:lineRule="exact"/>
              <w:jc w:val="center"/>
              <w:rPr>
                <w:color w:val="000000"/>
                <w:sz w:val="20"/>
                <w:szCs w:val="20"/>
              </w:rPr>
            </w:pPr>
            <w:r>
              <w:rPr>
                <w:rFonts w:hint="eastAsia"/>
                <w:color w:val="000000"/>
                <w:sz w:val="20"/>
                <w:szCs w:val="20"/>
              </w:rPr>
              <w:t xml:space="preserve">12 </w:t>
            </w:r>
          </w:p>
        </w:tc>
        <w:tc>
          <w:tcPr>
            <w:tcW w:w="1347" w:type="dxa"/>
            <w:tcBorders>
              <w:top w:val="nil"/>
              <w:left w:val="nil"/>
              <w:bottom w:val="single" w:color="auto" w:sz="4" w:space="0"/>
              <w:right w:val="single" w:color="auto" w:sz="4" w:space="0"/>
            </w:tcBorders>
            <w:noWrap/>
            <w:vAlign w:val="center"/>
          </w:tcPr>
          <w:p w14:paraId="09ED1D79">
            <w:pPr>
              <w:spacing w:line="300" w:lineRule="exact"/>
              <w:jc w:val="center"/>
              <w:rPr>
                <w:color w:val="000000"/>
                <w:sz w:val="20"/>
                <w:szCs w:val="20"/>
              </w:rPr>
            </w:pPr>
            <w:r>
              <w:rPr>
                <w:rFonts w:hint="eastAsia"/>
                <w:color w:val="000000"/>
                <w:sz w:val="20"/>
                <w:szCs w:val="20"/>
              </w:rPr>
              <w:t xml:space="preserve">10 </w:t>
            </w:r>
          </w:p>
        </w:tc>
        <w:tc>
          <w:tcPr>
            <w:tcW w:w="1703" w:type="dxa"/>
            <w:tcBorders>
              <w:top w:val="nil"/>
              <w:left w:val="nil"/>
              <w:bottom w:val="single" w:color="auto" w:sz="4" w:space="0"/>
              <w:right w:val="single" w:color="auto" w:sz="4" w:space="0"/>
            </w:tcBorders>
            <w:noWrap/>
            <w:vAlign w:val="center"/>
          </w:tcPr>
          <w:p w14:paraId="06F40B71">
            <w:pPr>
              <w:spacing w:line="300" w:lineRule="exact"/>
              <w:jc w:val="center"/>
              <w:rPr>
                <w:rFonts w:ascii="宋体" w:hAnsi="宋体" w:cs="宋体"/>
                <w:color w:val="000000"/>
                <w:kern w:val="0"/>
                <w:sz w:val="24"/>
              </w:rPr>
            </w:pPr>
            <w:r>
              <w:rPr>
                <w:rFonts w:hint="eastAsia" w:ascii="宋体" w:hAnsi="宋体" w:cs="宋体"/>
                <w:color w:val="000000"/>
                <w:kern w:val="0"/>
                <w:sz w:val="24"/>
              </w:rPr>
              <w:t>9</w:t>
            </w:r>
          </w:p>
        </w:tc>
        <w:tc>
          <w:tcPr>
            <w:tcW w:w="723" w:type="dxa"/>
            <w:tcBorders>
              <w:top w:val="nil"/>
              <w:left w:val="nil"/>
              <w:bottom w:val="single" w:color="auto" w:sz="4" w:space="0"/>
              <w:right w:val="single" w:color="auto" w:sz="4" w:space="0"/>
            </w:tcBorders>
            <w:noWrap/>
            <w:vAlign w:val="center"/>
          </w:tcPr>
          <w:p w14:paraId="5D5EA852">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已有</w:t>
            </w:r>
            <w:r>
              <w:rPr>
                <w:rFonts w:ascii="宋体" w:hAnsi="宋体" w:cs="宋体"/>
                <w:color w:val="000000"/>
                <w:kern w:val="0"/>
                <w:sz w:val="22"/>
                <w:szCs w:val="22"/>
              </w:rPr>
              <w:t>1</w:t>
            </w:r>
            <w:r>
              <w:rPr>
                <w:rFonts w:hint="eastAsia" w:ascii="宋体" w:hAnsi="宋体" w:cs="宋体"/>
                <w:color w:val="000000"/>
                <w:kern w:val="0"/>
                <w:sz w:val="22"/>
                <w:szCs w:val="22"/>
              </w:rPr>
              <w:t>个　</w:t>
            </w:r>
          </w:p>
        </w:tc>
      </w:tr>
      <w:tr w14:paraId="0D302CB9">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5D68BB26">
            <w:pPr>
              <w:spacing w:line="300" w:lineRule="exact"/>
              <w:jc w:val="center"/>
              <w:rPr>
                <w:rFonts w:ascii="宋体" w:hAnsi="宋体" w:cs="宋体"/>
                <w:color w:val="000000"/>
                <w:kern w:val="0"/>
                <w:sz w:val="24"/>
              </w:rPr>
            </w:pPr>
            <w:r>
              <w:rPr>
                <w:rFonts w:hint="eastAsia" w:ascii="宋体" w:hAnsi="宋体" w:cs="宋体"/>
                <w:color w:val="000000"/>
                <w:kern w:val="0"/>
                <w:sz w:val="24"/>
              </w:rPr>
              <w:t>14</w:t>
            </w:r>
          </w:p>
        </w:tc>
        <w:tc>
          <w:tcPr>
            <w:tcW w:w="1823" w:type="dxa"/>
            <w:tcBorders>
              <w:top w:val="nil"/>
              <w:left w:val="nil"/>
              <w:bottom w:val="single" w:color="auto" w:sz="4" w:space="0"/>
              <w:right w:val="single" w:color="auto" w:sz="4" w:space="0"/>
            </w:tcBorders>
            <w:vAlign w:val="center"/>
          </w:tcPr>
          <w:p w14:paraId="7B04F51D">
            <w:pPr>
              <w:spacing w:line="300" w:lineRule="exact"/>
              <w:jc w:val="center"/>
              <w:rPr>
                <w:rFonts w:ascii="宋体" w:hAnsi="宋体" w:cs="宋体"/>
                <w:color w:val="000000"/>
                <w:kern w:val="0"/>
                <w:sz w:val="24"/>
              </w:rPr>
            </w:pPr>
            <w:r>
              <w:rPr>
                <w:rFonts w:hint="eastAsia" w:ascii="宋体" w:hAnsi="宋体" w:cs="宋体"/>
                <w:color w:val="000000"/>
                <w:kern w:val="0"/>
                <w:sz w:val="24"/>
              </w:rPr>
              <w:t>平秋镇</w:t>
            </w:r>
          </w:p>
        </w:tc>
        <w:tc>
          <w:tcPr>
            <w:tcW w:w="1625" w:type="dxa"/>
            <w:tcBorders>
              <w:top w:val="nil"/>
              <w:left w:val="nil"/>
              <w:bottom w:val="single" w:color="auto" w:sz="4" w:space="0"/>
              <w:right w:val="single" w:color="auto" w:sz="4" w:space="0"/>
            </w:tcBorders>
            <w:vAlign w:val="center"/>
          </w:tcPr>
          <w:p w14:paraId="0CA4A54D">
            <w:pPr>
              <w:spacing w:line="300" w:lineRule="exact"/>
              <w:jc w:val="center"/>
              <w:rPr>
                <w:color w:val="000000"/>
                <w:sz w:val="20"/>
                <w:szCs w:val="20"/>
              </w:rPr>
            </w:pPr>
            <w:r>
              <w:rPr>
                <w:rFonts w:hint="eastAsia"/>
                <w:color w:val="000000"/>
                <w:sz w:val="20"/>
                <w:szCs w:val="20"/>
              </w:rPr>
              <w:t xml:space="preserve">2.0 </w:t>
            </w:r>
          </w:p>
        </w:tc>
        <w:tc>
          <w:tcPr>
            <w:tcW w:w="1347" w:type="dxa"/>
            <w:tcBorders>
              <w:top w:val="nil"/>
              <w:left w:val="nil"/>
              <w:bottom w:val="single" w:color="auto" w:sz="4" w:space="0"/>
              <w:right w:val="single" w:color="auto" w:sz="4" w:space="0"/>
            </w:tcBorders>
            <w:vAlign w:val="center"/>
          </w:tcPr>
          <w:p w14:paraId="72DDACF3">
            <w:pPr>
              <w:spacing w:line="300" w:lineRule="exact"/>
              <w:jc w:val="center"/>
              <w:rPr>
                <w:color w:val="000000"/>
                <w:sz w:val="20"/>
                <w:szCs w:val="20"/>
              </w:rPr>
            </w:pPr>
            <w:r>
              <w:rPr>
                <w:rFonts w:hint="eastAsia"/>
                <w:color w:val="000000"/>
                <w:sz w:val="20"/>
                <w:szCs w:val="20"/>
              </w:rPr>
              <w:t xml:space="preserve">8 </w:t>
            </w:r>
          </w:p>
        </w:tc>
        <w:tc>
          <w:tcPr>
            <w:tcW w:w="1347" w:type="dxa"/>
            <w:tcBorders>
              <w:top w:val="nil"/>
              <w:left w:val="nil"/>
              <w:bottom w:val="single" w:color="auto" w:sz="4" w:space="0"/>
              <w:right w:val="single" w:color="auto" w:sz="4" w:space="0"/>
            </w:tcBorders>
            <w:noWrap/>
            <w:vAlign w:val="center"/>
          </w:tcPr>
          <w:p w14:paraId="29886FAB">
            <w:pPr>
              <w:spacing w:line="300" w:lineRule="exact"/>
              <w:jc w:val="center"/>
              <w:rPr>
                <w:color w:val="000000"/>
                <w:sz w:val="20"/>
                <w:szCs w:val="20"/>
              </w:rPr>
            </w:pPr>
            <w:r>
              <w:rPr>
                <w:rFonts w:hint="eastAsia"/>
                <w:color w:val="000000"/>
                <w:sz w:val="20"/>
                <w:szCs w:val="20"/>
              </w:rPr>
              <w:t xml:space="preserve">7 </w:t>
            </w:r>
          </w:p>
        </w:tc>
        <w:tc>
          <w:tcPr>
            <w:tcW w:w="1703" w:type="dxa"/>
            <w:tcBorders>
              <w:top w:val="nil"/>
              <w:left w:val="nil"/>
              <w:bottom w:val="single" w:color="auto" w:sz="4" w:space="0"/>
              <w:right w:val="single" w:color="auto" w:sz="4" w:space="0"/>
            </w:tcBorders>
            <w:noWrap/>
            <w:vAlign w:val="center"/>
          </w:tcPr>
          <w:p w14:paraId="72038BE1">
            <w:pPr>
              <w:spacing w:line="300" w:lineRule="exact"/>
              <w:jc w:val="center"/>
              <w:rPr>
                <w:rFonts w:ascii="宋体" w:hAnsi="宋体" w:cs="宋体"/>
                <w:color w:val="000000"/>
                <w:kern w:val="0"/>
                <w:sz w:val="24"/>
              </w:rPr>
            </w:pPr>
            <w:r>
              <w:rPr>
                <w:rFonts w:hint="eastAsia" w:ascii="宋体" w:hAnsi="宋体" w:cs="宋体"/>
                <w:color w:val="000000"/>
                <w:kern w:val="0"/>
                <w:sz w:val="24"/>
              </w:rPr>
              <w:t>6</w:t>
            </w:r>
          </w:p>
        </w:tc>
        <w:tc>
          <w:tcPr>
            <w:tcW w:w="723" w:type="dxa"/>
            <w:tcBorders>
              <w:top w:val="nil"/>
              <w:left w:val="nil"/>
              <w:bottom w:val="single" w:color="auto" w:sz="4" w:space="0"/>
              <w:right w:val="single" w:color="auto" w:sz="4" w:space="0"/>
            </w:tcBorders>
            <w:noWrap/>
            <w:vAlign w:val="center"/>
          </w:tcPr>
          <w:p w14:paraId="78258C1B">
            <w:pPr>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D53A04A">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0B085607">
            <w:pPr>
              <w:spacing w:line="300" w:lineRule="exact"/>
              <w:jc w:val="center"/>
              <w:rPr>
                <w:rFonts w:ascii="宋体" w:hAnsi="宋体" w:cs="宋体"/>
                <w:color w:val="000000"/>
                <w:kern w:val="0"/>
                <w:sz w:val="24"/>
              </w:rPr>
            </w:pPr>
            <w:r>
              <w:rPr>
                <w:rFonts w:hint="eastAsia" w:ascii="宋体" w:hAnsi="宋体" w:cs="宋体"/>
                <w:color w:val="000000"/>
                <w:kern w:val="0"/>
                <w:sz w:val="24"/>
              </w:rPr>
              <w:t>15</w:t>
            </w:r>
          </w:p>
        </w:tc>
        <w:tc>
          <w:tcPr>
            <w:tcW w:w="1823" w:type="dxa"/>
            <w:tcBorders>
              <w:top w:val="nil"/>
              <w:left w:val="nil"/>
              <w:bottom w:val="single" w:color="auto" w:sz="4" w:space="0"/>
              <w:right w:val="single" w:color="auto" w:sz="4" w:space="0"/>
            </w:tcBorders>
            <w:vAlign w:val="center"/>
          </w:tcPr>
          <w:p w14:paraId="1DAB603A">
            <w:pPr>
              <w:spacing w:line="300" w:lineRule="exact"/>
              <w:jc w:val="center"/>
              <w:rPr>
                <w:rFonts w:ascii="宋体" w:hAnsi="宋体" w:cs="宋体"/>
                <w:color w:val="000000"/>
                <w:kern w:val="0"/>
                <w:sz w:val="24"/>
              </w:rPr>
            </w:pPr>
            <w:r>
              <w:rPr>
                <w:rFonts w:hint="eastAsia" w:ascii="宋体" w:hAnsi="宋体" w:cs="宋体"/>
                <w:color w:val="000000"/>
                <w:kern w:val="0"/>
                <w:sz w:val="24"/>
              </w:rPr>
              <w:t>彦洞乡</w:t>
            </w:r>
          </w:p>
        </w:tc>
        <w:tc>
          <w:tcPr>
            <w:tcW w:w="1625" w:type="dxa"/>
            <w:tcBorders>
              <w:top w:val="nil"/>
              <w:left w:val="nil"/>
              <w:bottom w:val="single" w:color="auto" w:sz="4" w:space="0"/>
              <w:right w:val="single" w:color="auto" w:sz="4" w:space="0"/>
            </w:tcBorders>
            <w:vAlign w:val="center"/>
          </w:tcPr>
          <w:p w14:paraId="0227C360">
            <w:pPr>
              <w:spacing w:line="300" w:lineRule="exact"/>
              <w:jc w:val="center"/>
              <w:rPr>
                <w:color w:val="000000"/>
                <w:sz w:val="20"/>
                <w:szCs w:val="20"/>
              </w:rPr>
            </w:pPr>
            <w:r>
              <w:rPr>
                <w:rFonts w:hint="eastAsia"/>
                <w:color w:val="000000"/>
                <w:sz w:val="20"/>
                <w:szCs w:val="20"/>
              </w:rPr>
              <w:t xml:space="preserve">2.0 </w:t>
            </w:r>
          </w:p>
        </w:tc>
        <w:tc>
          <w:tcPr>
            <w:tcW w:w="1347" w:type="dxa"/>
            <w:tcBorders>
              <w:top w:val="nil"/>
              <w:left w:val="nil"/>
              <w:bottom w:val="single" w:color="auto" w:sz="4" w:space="0"/>
              <w:right w:val="single" w:color="auto" w:sz="4" w:space="0"/>
            </w:tcBorders>
            <w:vAlign w:val="center"/>
          </w:tcPr>
          <w:p w14:paraId="3E29E1FC">
            <w:pPr>
              <w:spacing w:line="300" w:lineRule="exact"/>
              <w:jc w:val="center"/>
              <w:rPr>
                <w:color w:val="000000"/>
                <w:sz w:val="20"/>
                <w:szCs w:val="20"/>
              </w:rPr>
            </w:pPr>
            <w:r>
              <w:rPr>
                <w:rFonts w:hint="eastAsia"/>
                <w:color w:val="000000"/>
                <w:sz w:val="20"/>
                <w:szCs w:val="20"/>
              </w:rPr>
              <w:t xml:space="preserve">8 </w:t>
            </w:r>
          </w:p>
        </w:tc>
        <w:tc>
          <w:tcPr>
            <w:tcW w:w="1347" w:type="dxa"/>
            <w:tcBorders>
              <w:top w:val="nil"/>
              <w:left w:val="nil"/>
              <w:bottom w:val="single" w:color="auto" w:sz="4" w:space="0"/>
              <w:right w:val="single" w:color="auto" w:sz="4" w:space="0"/>
            </w:tcBorders>
            <w:noWrap/>
            <w:vAlign w:val="center"/>
          </w:tcPr>
          <w:p w14:paraId="7C73BC1E">
            <w:pPr>
              <w:spacing w:line="300" w:lineRule="exact"/>
              <w:jc w:val="center"/>
              <w:rPr>
                <w:color w:val="000000"/>
                <w:sz w:val="20"/>
                <w:szCs w:val="20"/>
              </w:rPr>
            </w:pPr>
            <w:r>
              <w:rPr>
                <w:rFonts w:hint="eastAsia"/>
                <w:color w:val="000000"/>
                <w:sz w:val="20"/>
                <w:szCs w:val="20"/>
              </w:rPr>
              <w:t xml:space="preserve">7 </w:t>
            </w:r>
          </w:p>
        </w:tc>
        <w:tc>
          <w:tcPr>
            <w:tcW w:w="1703" w:type="dxa"/>
            <w:tcBorders>
              <w:top w:val="nil"/>
              <w:left w:val="nil"/>
              <w:bottom w:val="single" w:color="auto" w:sz="4" w:space="0"/>
              <w:right w:val="single" w:color="auto" w:sz="4" w:space="0"/>
            </w:tcBorders>
            <w:noWrap/>
            <w:vAlign w:val="center"/>
          </w:tcPr>
          <w:p w14:paraId="10E5FF55">
            <w:pPr>
              <w:spacing w:line="300" w:lineRule="exact"/>
              <w:jc w:val="center"/>
              <w:rPr>
                <w:rFonts w:ascii="宋体" w:hAnsi="宋体" w:cs="宋体"/>
                <w:color w:val="000000"/>
                <w:kern w:val="0"/>
                <w:sz w:val="24"/>
              </w:rPr>
            </w:pPr>
            <w:r>
              <w:rPr>
                <w:rFonts w:hint="eastAsia" w:ascii="宋体" w:hAnsi="宋体" w:cs="宋体"/>
                <w:color w:val="000000"/>
                <w:kern w:val="0"/>
                <w:sz w:val="24"/>
              </w:rPr>
              <w:t>6</w:t>
            </w:r>
          </w:p>
        </w:tc>
        <w:tc>
          <w:tcPr>
            <w:tcW w:w="723" w:type="dxa"/>
            <w:tcBorders>
              <w:top w:val="nil"/>
              <w:left w:val="nil"/>
              <w:bottom w:val="single" w:color="auto" w:sz="4" w:space="0"/>
              <w:right w:val="single" w:color="auto" w:sz="4" w:space="0"/>
            </w:tcBorders>
            <w:noWrap/>
            <w:vAlign w:val="center"/>
          </w:tcPr>
          <w:p w14:paraId="58AA4BFF">
            <w:pPr>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655A602">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21A7F57A">
            <w:pPr>
              <w:spacing w:line="300" w:lineRule="exact"/>
              <w:jc w:val="center"/>
              <w:rPr>
                <w:rFonts w:ascii="宋体" w:hAnsi="宋体" w:cs="宋体"/>
                <w:color w:val="000000"/>
                <w:kern w:val="0"/>
                <w:sz w:val="24"/>
              </w:rPr>
            </w:pPr>
            <w:r>
              <w:rPr>
                <w:rFonts w:hint="eastAsia" w:ascii="宋体" w:hAnsi="宋体" w:cs="宋体"/>
                <w:color w:val="000000"/>
                <w:kern w:val="0"/>
                <w:sz w:val="24"/>
              </w:rPr>
              <w:t>16</w:t>
            </w:r>
          </w:p>
        </w:tc>
        <w:tc>
          <w:tcPr>
            <w:tcW w:w="1823" w:type="dxa"/>
            <w:tcBorders>
              <w:top w:val="nil"/>
              <w:left w:val="nil"/>
              <w:bottom w:val="single" w:color="auto" w:sz="4" w:space="0"/>
              <w:right w:val="single" w:color="auto" w:sz="4" w:space="0"/>
            </w:tcBorders>
            <w:vAlign w:val="center"/>
          </w:tcPr>
          <w:p w14:paraId="2CF82484">
            <w:pPr>
              <w:spacing w:line="300" w:lineRule="exact"/>
              <w:jc w:val="center"/>
              <w:rPr>
                <w:rFonts w:ascii="宋体" w:hAnsi="宋体" w:cs="宋体"/>
                <w:color w:val="000000"/>
                <w:kern w:val="0"/>
                <w:sz w:val="24"/>
              </w:rPr>
            </w:pPr>
            <w:r>
              <w:rPr>
                <w:rFonts w:hint="eastAsia" w:ascii="宋体" w:hAnsi="宋体" w:cs="宋体"/>
                <w:color w:val="000000"/>
                <w:kern w:val="0"/>
                <w:sz w:val="24"/>
              </w:rPr>
              <w:t>固本乡</w:t>
            </w:r>
          </w:p>
        </w:tc>
        <w:tc>
          <w:tcPr>
            <w:tcW w:w="1625" w:type="dxa"/>
            <w:tcBorders>
              <w:top w:val="nil"/>
              <w:left w:val="nil"/>
              <w:bottom w:val="single" w:color="auto" w:sz="4" w:space="0"/>
              <w:right w:val="single" w:color="auto" w:sz="4" w:space="0"/>
            </w:tcBorders>
            <w:vAlign w:val="center"/>
          </w:tcPr>
          <w:p w14:paraId="4D1ED87B">
            <w:pPr>
              <w:spacing w:line="300" w:lineRule="exact"/>
              <w:jc w:val="center"/>
              <w:rPr>
                <w:color w:val="000000"/>
                <w:sz w:val="20"/>
                <w:szCs w:val="20"/>
              </w:rPr>
            </w:pPr>
            <w:r>
              <w:rPr>
                <w:rFonts w:hint="eastAsia"/>
                <w:color w:val="000000"/>
                <w:sz w:val="20"/>
                <w:szCs w:val="20"/>
              </w:rPr>
              <w:t xml:space="preserve">2.0 </w:t>
            </w:r>
          </w:p>
        </w:tc>
        <w:tc>
          <w:tcPr>
            <w:tcW w:w="1347" w:type="dxa"/>
            <w:tcBorders>
              <w:top w:val="nil"/>
              <w:left w:val="nil"/>
              <w:bottom w:val="single" w:color="auto" w:sz="4" w:space="0"/>
              <w:right w:val="single" w:color="auto" w:sz="4" w:space="0"/>
            </w:tcBorders>
            <w:vAlign w:val="center"/>
          </w:tcPr>
          <w:p w14:paraId="723B9657">
            <w:pPr>
              <w:spacing w:line="300" w:lineRule="exact"/>
              <w:jc w:val="center"/>
              <w:rPr>
                <w:color w:val="000000"/>
                <w:sz w:val="20"/>
                <w:szCs w:val="20"/>
              </w:rPr>
            </w:pPr>
            <w:r>
              <w:rPr>
                <w:rFonts w:hint="eastAsia"/>
                <w:color w:val="000000"/>
                <w:sz w:val="20"/>
                <w:szCs w:val="20"/>
              </w:rPr>
              <w:t xml:space="preserve">8 </w:t>
            </w:r>
          </w:p>
        </w:tc>
        <w:tc>
          <w:tcPr>
            <w:tcW w:w="1347" w:type="dxa"/>
            <w:tcBorders>
              <w:top w:val="nil"/>
              <w:left w:val="nil"/>
              <w:bottom w:val="single" w:color="auto" w:sz="4" w:space="0"/>
              <w:right w:val="single" w:color="auto" w:sz="4" w:space="0"/>
            </w:tcBorders>
            <w:noWrap/>
            <w:vAlign w:val="center"/>
          </w:tcPr>
          <w:p w14:paraId="55DDB8CB">
            <w:pPr>
              <w:spacing w:line="300" w:lineRule="exact"/>
              <w:jc w:val="center"/>
              <w:rPr>
                <w:color w:val="000000"/>
                <w:sz w:val="20"/>
                <w:szCs w:val="20"/>
              </w:rPr>
            </w:pPr>
            <w:r>
              <w:rPr>
                <w:rFonts w:hint="eastAsia"/>
                <w:color w:val="000000"/>
                <w:sz w:val="20"/>
                <w:szCs w:val="20"/>
              </w:rPr>
              <w:t xml:space="preserve">7 </w:t>
            </w:r>
          </w:p>
        </w:tc>
        <w:tc>
          <w:tcPr>
            <w:tcW w:w="1703" w:type="dxa"/>
            <w:tcBorders>
              <w:top w:val="nil"/>
              <w:left w:val="nil"/>
              <w:bottom w:val="single" w:color="auto" w:sz="4" w:space="0"/>
              <w:right w:val="single" w:color="auto" w:sz="4" w:space="0"/>
            </w:tcBorders>
            <w:noWrap/>
            <w:vAlign w:val="center"/>
          </w:tcPr>
          <w:p w14:paraId="5D227F48">
            <w:pPr>
              <w:spacing w:line="300" w:lineRule="exact"/>
              <w:jc w:val="center"/>
              <w:rPr>
                <w:rFonts w:ascii="宋体" w:hAnsi="宋体" w:cs="宋体"/>
                <w:color w:val="000000"/>
                <w:kern w:val="0"/>
                <w:sz w:val="24"/>
              </w:rPr>
            </w:pPr>
            <w:r>
              <w:rPr>
                <w:rFonts w:hint="eastAsia" w:ascii="宋体" w:hAnsi="宋体" w:cs="宋体"/>
                <w:color w:val="000000"/>
                <w:kern w:val="0"/>
                <w:sz w:val="24"/>
              </w:rPr>
              <w:t>6</w:t>
            </w:r>
          </w:p>
        </w:tc>
        <w:tc>
          <w:tcPr>
            <w:tcW w:w="723" w:type="dxa"/>
            <w:tcBorders>
              <w:top w:val="nil"/>
              <w:left w:val="nil"/>
              <w:bottom w:val="single" w:color="auto" w:sz="4" w:space="0"/>
              <w:right w:val="single" w:color="auto" w:sz="4" w:space="0"/>
            </w:tcBorders>
            <w:noWrap/>
            <w:vAlign w:val="center"/>
          </w:tcPr>
          <w:p w14:paraId="754ACD92">
            <w:pPr>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9F51558">
        <w:tblPrEx>
          <w:tblCellMar>
            <w:top w:w="0" w:type="dxa"/>
            <w:left w:w="108" w:type="dxa"/>
            <w:bottom w:w="0" w:type="dxa"/>
            <w:right w:w="108" w:type="dxa"/>
          </w:tblCellMar>
        </w:tblPrEx>
        <w:trPr>
          <w:trHeight w:val="511" w:hRule="atLeast"/>
        </w:trPr>
        <w:tc>
          <w:tcPr>
            <w:tcW w:w="587" w:type="dxa"/>
            <w:tcBorders>
              <w:top w:val="nil"/>
              <w:left w:val="single" w:color="auto" w:sz="4" w:space="0"/>
              <w:bottom w:val="single" w:color="auto" w:sz="4" w:space="0"/>
              <w:right w:val="single" w:color="auto" w:sz="4" w:space="0"/>
            </w:tcBorders>
            <w:noWrap/>
            <w:vAlign w:val="center"/>
          </w:tcPr>
          <w:p w14:paraId="443AF6D8">
            <w:pPr>
              <w:spacing w:line="300" w:lineRule="exact"/>
              <w:jc w:val="center"/>
              <w:rPr>
                <w:rFonts w:ascii="宋体" w:hAnsi="宋体" w:cs="宋体"/>
                <w:color w:val="000000"/>
                <w:kern w:val="0"/>
                <w:sz w:val="24"/>
              </w:rPr>
            </w:pPr>
            <w:r>
              <w:rPr>
                <w:rFonts w:hint="eastAsia" w:ascii="宋体" w:hAnsi="宋体" w:cs="宋体"/>
                <w:color w:val="000000"/>
                <w:kern w:val="0"/>
                <w:sz w:val="24"/>
              </w:rPr>
              <w:t>17</w:t>
            </w:r>
          </w:p>
        </w:tc>
        <w:tc>
          <w:tcPr>
            <w:tcW w:w="1823" w:type="dxa"/>
            <w:tcBorders>
              <w:top w:val="nil"/>
              <w:left w:val="nil"/>
              <w:bottom w:val="single" w:color="auto" w:sz="4" w:space="0"/>
              <w:right w:val="single" w:color="auto" w:sz="4" w:space="0"/>
            </w:tcBorders>
            <w:vAlign w:val="center"/>
          </w:tcPr>
          <w:p w14:paraId="35F3E443">
            <w:pPr>
              <w:spacing w:line="300" w:lineRule="exact"/>
              <w:jc w:val="center"/>
              <w:rPr>
                <w:rFonts w:ascii="宋体" w:hAnsi="宋体" w:cs="宋体"/>
                <w:color w:val="000000"/>
                <w:kern w:val="0"/>
                <w:sz w:val="24"/>
              </w:rPr>
            </w:pPr>
            <w:r>
              <w:rPr>
                <w:rFonts w:hint="eastAsia" w:ascii="宋体" w:hAnsi="宋体" w:cs="宋体"/>
                <w:color w:val="000000"/>
                <w:kern w:val="0"/>
                <w:sz w:val="24"/>
              </w:rPr>
              <w:t>河口乡</w:t>
            </w:r>
          </w:p>
        </w:tc>
        <w:tc>
          <w:tcPr>
            <w:tcW w:w="1625" w:type="dxa"/>
            <w:tcBorders>
              <w:top w:val="nil"/>
              <w:left w:val="nil"/>
              <w:bottom w:val="single" w:color="auto" w:sz="4" w:space="0"/>
              <w:right w:val="single" w:color="auto" w:sz="4" w:space="0"/>
            </w:tcBorders>
            <w:vAlign w:val="center"/>
          </w:tcPr>
          <w:p w14:paraId="24E317B0">
            <w:pPr>
              <w:spacing w:line="300" w:lineRule="exact"/>
              <w:jc w:val="center"/>
              <w:rPr>
                <w:color w:val="000000"/>
                <w:sz w:val="20"/>
                <w:szCs w:val="20"/>
              </w:rPr>
            </w:pPr>
            <w:r>
              <w:rPr>
                <w:rFonts w:hint="eastAsia"/>
                <w:color w:val="000000"/>
                <w:sz w:val="20"/>
                <w:szCs w:val="20"/>
              </w:rPr>
              <w:t xml:space="preserve">2.0 </w:t>
            </w:r>
          </w:p>
        </w:tc>
        <w:tc>
          <w:tcPr>
            <w:tcW w:w="1347" w:type="dxa"/>
            <w:tcBorders>
              <w:top w:val="nil"/>
              <w:left w:val="nil"/>
              <w:bottom w:val="single" w:color="auto" w:sz="4" w:space="0"/>
              <w:right w:val="single" w:color="auto" w:sz="4" w:space="0"/>
            </w:tcBorders>
            <w:vAlign w:val="center"/>
          </w:tcPr>
          <w:p w14:paraId="7A74AEE0">
            <w:pPr>
              <w:spacing w:line="300" w:lineRule="exact"/>
              <w:jc w:val="center"/>
              <w:rPr>
                <w:color w:val="000000"/>
                <w:sz w:val="20"/>
                <w:szCs w:val="20"/>
              </w:rPr>
            </w:pPr>
            <w:r>
              <w:rPr>
                <w:rFonts w:hint="eastAsia"/>
                <w:color w:val="000000"/>
                <w:sz w:val="20"/>
                <w:szCs w:val="20"/>
              </w:rPr>
              <w:t xml:space="preserve">8 </w:t>
            </w:r>
          </w:p>
        </w:tc>
        <w:tc>
          <w:tcPr>
            <w:tcW w:w="1347" w:type="dxa"/>
            <w:tcBorders>
              <w:top w:val="nil"/>
              <w:left w:val="nil"/>
              <w:bottom w:val="single" w:color="auto" w:sz="4" w:space="0"/>
              <w:right w:val="single" w:color="auto" w:sz="4" w:space="0"/>
            </w:tcBorders>
            <w:noWrap/>
            <w:vAlign w:val="center"/>
          </w:tcPr>
          <w:p w14:paraId="042330F8">
            <w:pPr>
              <w:spacing w:line="300" w:lineRule="exact"/>
              <w:jc w:val="center"/>
              <w:rPr>
                <w:color w:val="000000"/>
                <w:sz w:val="20"/>
                <w:szCs w:val="20"/>
              </w:rPr>
            </w:pPr>
            <w:r>
              <w:rPr>
                <w:rFonts w:hint="eastAsia"/>
                <w:color w:val="000000"/>
                <w:sz w:val="20"/>
                <w:szCs w:val="20"/>
              </w:rPr>
              <w:t xml:space="preserve">7 </w:t>
            </w:r>
          </w:p>
        </w:tc>
        <w:tc>
          <w:tcPr>
            <w:tcW w:w="1703" w:type="dxa"/>
            <w:tcBorders>
              <w:top w:val="nil"/>
              <w:left w:val="nil"/>
              <w:bottom w:val="single" w:color="auto" w:sz="4" w:space="0"/>
              <w:right w:val="single" w:color="auto" w:sz="4" w:space="0"/>
            </w:tcBorders>
            <w:noWrap/>
            <w:vAlign w:val="center"/>
          </w:tcPr>
          <w:p w14:paraId="3A5DC424">
            <w:pPr>
              <w:spacing w:line="300" w:lineRule="exact"/>
              <w:jc w:val="center"/>
              <w:rPr>
                <w:rFonts w:ascii="宋体" w:hAnsi="宋体" w:cs="宋体"/>
                <w:color w:val="000000"/>
                <w:kern w:val="0"/>
                <w:sz w:val="24"/>
              </w:rPr>
            </w:pPr>
            <w:r>
              <w:rPr>
                <w:rFonts w:hint="eastAsia" w:ascii="宋体" w:hAnsi="宋体" w:cs="宋体"/>
                <w:color w:val="000000"/>
                <w:kern w:val="0"/>
                <w:sz w:val="24"/>
              </w:rPr>
              <w:t>6</w:t>
            </w:r>
          </w:p>
        </w:tc>
        <w:tc>
          <w:tcPr>
            <w:tcW w:w="723" w:type="dxa"/>
            <w:tcBorders>
              <w:top w:val="nil"/>
              <w:left w:val="nil"/>
              <w:bottom w:val="single" w:color="auto" w:sz="4" w:space="0"/>
              <w:right w:val="single" w:color="auto" w:sz="4" w:space="0"/>
            </w:tcBorders>
            <w:noWrap/>
            <w:vAlign w:val="center"/>
          </w:tcPr>
          <w:p w14:paraId="0D941C91">
            <w:pPr>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0AC06EE">
        <w:tblPrEx>
          <w:tblCellMar>
            <w:top w:w="0" w:type="dxa"/>
            <w:left w:w="108" w:type="dxa"/>
            <w:bottom w:w="0" w:type="dxa"/>
            <w:right w:w="108" w:type="dxa"/>
          </w:tblCellMar>
        </w:tblPrEx>
        <w:trPr>
          <w:trHeight w:val="511" w:hRule="atLeast"/>
        </w:trPr>
        <w:tc>
          <w:tcPr>
            <w:tcW w:w="2410" w:type="dxa"/>
            <w:gridSpan w:val="2"/>
            <w:tcBorders>
              <w:top w:val="single" w:color="auto" w:sz="4" w:space="0"/>
              <w:left w:val="single" w:color="auto" w:sz="4" w:space="0"/>
              <w:bottom w:val="single" w:color="auto" w:sz="4" w:space="0"/>
              <w:right w:val="single" w:color="auto" w:sz="4" w:space="0"/>
            </w:tcBorders>
            <w:noWrap/>
            <w:vAlign w:val="center"/>
          </w:tcPr>
          <w:p w14:paraId="46057A14">
            <w:pPr>
              <w:spacing w:line="300" w:lineRule="exact"/>
              <w:jc w:val="center"/>
              <w:rPr>
                <w:rFonts w:ascii="宋体" w:hAnsi="宋体" w:cs="宋体"/>
                <w:color w:val="000000"/>
                <w:kern w:val="0"/>
                <w:sz w:val="24"/>
              </w:rPr>
            </w:pPr>
            <w:r>
              <w:rPr>
                <w:rFonts w:hint="eastAsia" w:ascii="宋体" w:hAnsi="宋体" w:cs="宋体"/>
                <w:color w:val="000000"/>
                <w:kern w:val="0"/>
                <w:sz w:val="24"/>
              </w:rPr>
              <w:t>合计</w:t>
            </w:r>
          </w:p>
        </w:tc>
        <w:tc>
          <w:tcPr>
            <w:tcW w:w="1625" w:type="dxa"/>
            <w:tcBorders>
              <w:top w:val="nil"/>
              <w:left w:val="nil"/>
              <w:bottom w:val="single" w:color="auto" w:sz="4" w:space="0"/>
              <w:right w:val="single" w:color="auto" w:sz="4" w:space="0"/>
            </w:tcBorders>
            <w:noWrap/>
            <w:vAlign w:val="center"/>
          </w:tcPr>
          <w:p w14:paraId="69B47800">
            <w:pPr>
              <w:spacing w:line="300" w:lineRule="exact"/>
              <w:jc w:val="center"/>
              <w:rPr>
                <w:rFonts w:ascii="宋体" w:hAnsi="宋体" w:cs="宋体"/>
                <w:color w:val="000000"/>
                <w:kern w:val="0"/>
                <w:sz w:val="24"/>
              </w:rPr>
            </w:pPr>
            <w:r>
              <w:rPr>
                <w:rFonts w:hint="eastAsia" w:ascii="宋体" w:hAnsi="宋体" w:cs="宋体"/>
                <w:color w:val="000000"/>
                <w:kern w:val="0"/>
                <w:sz w:val="24"/>
              </w:rPr>
              <w:t>122</w:t>
            </w:r>
          </w:p>
        </w:tc>
        <w:tc>
          <w:tcPr>
            <w:tcW w:w="1347" w:type="dxa"/>
            <w:tcBorders>
              <w:top w:val="nil"/>
              <w:left w:val="nil"/>
              <w:bottom w:val="single" w:color="auto" w:sz="4" w:space="0"/>
              <w:right w:val="single" w:color="auto" w:sz="4" w:space="0"/>
            </w:tcBorders>
            <w:noWrap/>
            <w:vAlign w:val="center"/>
          </w:tcPr>
          <w:p w14:paraId="05E51AA0">
            <w:pPr>
              <w:spacing w:line="300" w:lineRule="exact"/>
              <w:jc w:val="center"/>
              <w:rPr>
                <w:rFonts w:ascii="宋体" w:hAnsi="宋体" w:cs="宋体"/>
                <w:color w:val="000000"/>
                <w:kern w:val="0"/>
                <w:sz w:val="24"/>
              </w:rPr>
            </w:pPr>
            <w:r>
              <w:rPr>
                <w:rFonts w:ascii="宋体" w:hAnsi="宋体" w:cs="宋体"/>
                <w:color w:val="000000"/>
                <w:kern w:val="0"/>
                <w:sz w:val="24"/>
              </w:rPr>
              <w:t>388</w:t>
            </w:r>
          </w:p>
        </w:tc>
        <w:tc>
          <w:tcPr>
            <w:tcW w:w="1347" w:type="dxa"/>
            <w:tcBorders>
              <w:top w:val="nil"/>
              <w:left w:val="nil"/>
              <w:bottom w:val="single" w:color="auto" w:sz="4" w:space="0"/>
              <w:right w:val="single" w:color="auto" w:sz="4" w:space="0"/>
            </w:tcBorders>
            <w:noWrap/>
            <w:vAlign w:val="center"/>
          </w:tcPr>
          <w:p w14:paraId="42F10895">
            <w:pPr>
              <w:spacing w:line="300" w:lineRule="exact"/>
              <w:jc w:val="center"/>
              <w:rPr>
                <w:rFonts w:ascii="宋体" w:hAnsi="宋体" w:cs="宋体"/>
                <w:color w:val="000000"/>
                <w:kern w:val="0"/>
                <w:sz w:val="24"/>
              </w:rPr>
            </w:pPr>
            <w:r>
              <w:rPr>
                <w:rFonts w:hint="eastAsia" w:ascii="宋体" w:hAnsi="宋体" w:cs="宋体"/>
                <w:color w:val="000000"/>
                <w:kern w:val="0"/>
                <w:sz w:val="24"/>
              </w:rPr>
              <w:t>33</w:t>
            </w:r>
            <w:r>
              <w:rPr>
                <w:rFonts w:ascii="宋体" w:hAnsi="宋体" w:cs="宋体"/>
                <w:color w:val="000000"/>
                <w:kern w:val="0"/>
                <w:sz w:val="24"/>
              </w:rPr>
              <w:t>0</w:t>
            </w:r>
          </w:p>
        </w:tc>
        <w:tc>
          <w:tcPr>
            <w:tcW w:w="1703" w:type="dxa"/>
            <w:tcBorders>
              <w:top w:val="nil"/>
              <w:left w:val="nil"/>
              <w:bottom w:val="single" w:color="auto" w:sz="4" w:space="0"/>
              <w:right w:val="single" w:color="auto" w:sz="4" w:space="0"/>
            </w:tcBorders>
            <w:noWrap/>
            <w:vAlign w:val="center"/>
          </w:tcPr>
          <w:p w14:paraId="622C6D36">
            <w:pPr>
              <w:spacing w:line="300" w:lineRule="exact"/>
              <w:jc w:val="center"/>
              <w:rPr>
                <w:rFonts w:ascii="宋体" w:hAnsi="宋体" w:cs="宋体"/>
                <w:color w:val="000000"/>
                <w:kern w:val="0"/>
                <w:sz w:val="24"/>
              </w:rPr>
            </w:pPr>
            <w:r>
              <w:rPr>
                <w:rFonts w:hint="eastAsia" w:ascii="宋体" w:hAnsi="宋体" w:cs="宋体"/>
                <w:color w:val="000000"/>
                <w:kern w:val="0"/>
                <w:sz w:val="24"/>
              </w:rPr>
              <w:t>285</w:t>
            </w:r>
          </w:p>
        </w:tc>
        <w:tc>
          <w:tcPr>
            <w:tcW w:w="723" w:type="dxa"/>
            <w:tcBorders>
              <w:top w:val="nil"/>
              <w:left w:val="nil"/>
              <w:bottom w:val="single" w:color="auto" w:sz="4" w:space="0"/>
              <w:right w:val="single" w:color="auto" w:sz="4" w:space="0"/>
            </w:tcBorders>
            <w:noWrap/>
            <w:vAlign w:val="center"/>
          </w:tcPr>
          <w:p w14:paraId="6969462E">
            <w:pPr>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8D14915">
        <w:tblPrEx>
          <w:tblCellMar>
            <w:top w:w="0" w:type="dxa"/>
            <w:left w:w="108" w:type="dxa"/>
            <w:bottom w:w="0" w:type="dxa"/>
            <w:right w:w="108" w:type="dxa"/>
          </w:tblCellMar>
        </w:tblPrEx>
        <w:trPr>
          <w:trHeight w:val="524" w:hRule="atLeast"/>
        </w:trPr>
        <w:tc>
          <w:tcPr>
            <w:tcW w:w="9155" w:type="dxa"/>
            <w:gridSpan w:val="7"/>
            <w:tcBorders>
              <w:top w:val="nil"/>
              <w:left w:val="nil"/>
              <w:bottom w:val="nil"/>
              <w:right w:val="nil"/>
            </w:tcBorders>
            <w:vAlign w:val="center"/>
          </w:tcPr>
          <w:p w14:paraId="3570F9F9">
            <w:pPr>
              <w:jc w:val="left"/>
              <w:rPr>
                <w:rFonts w:ascii="宋体" w:hAnsi="宋体" w:cs="宋体"/>
                <w:color w:val="000000"/>
                <w:kern w:val="0"/>
                <w:sz w:val="22"/>
                <w:szCs w:val="22"/>
              </w:rPr>
            </w:pPr>
            <w:r>
              <w:rPr>
                <w:rFonts w:hint="eastAsia" w:ascii="宋体" w:hAnsi="宋体" w:cs="宋体"/>
                <w:color w:val="000000"/>
                <w:kern w:val="0"/>
                <w:sz w:val="22"/>
                <w:szCs w:val="22"/>
              </w:rPr>
              <w:t>备注：年出栏目标350万羽，任务表已扣除了已经出栏7万和存栏20万。</w:t>
            </w:r>
          </w:p>
        </w:tc>
      </w:tr>
    </w:tbl>
    <w:p w14:paraId="52F9D125">
      <w:pPr>
        <w:pStyle w:val="4"/>
        <w:ind w:firstLine="0" w:firstLineChars="0"/>
        <w:rPr>
          <w:rFonts w:eastAsia="仿宋_GB2312"/>
          <w:color w:val="000000"/>
          <w:sz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5FDB6">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00685" cy="36703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0685" cy="367030"/>
                      </a:xfrm>
                      <a:prstGeom prst="rect">
                        <a:avLst/>
                      </a:prstGeom>
                      <a:noFill/>
                      <a:ln>
                        <a:noFill/>
                      </a:ln>
                    </wps:spPr>
                    <wps:txbx>
                      <w:txbxContent>
                        <w:p w14:paraId="7ABD0620">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9pt;width:31.55pt;mso-position-horizontal:right;mso-position-horizontal-relative:margin;mso-wrap-style:none;z-index:251659264;mso-width-relative:page;mso-height-relative:page;" filled="f" stroked="f" coordsize="21600,21600" o:gfxdata="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LVVf9EAAAADAQAADwAAAAAAAAABACAAAAAiAAAAZHJzL2Rv&#10;d25yZXYueG1sUEsBAhQAFAAAAAgAh07iQP3B+F4IAgAAAgQAAA4AAAAAAAAAAQAgAAAAIAEAAGRy&#10;cy9lMm9Eb2MueG1sUEsFBgAAAAAGAAYAWQEAAJoFAAAAAA==&#10;">
              <v:fill on="f" focussize="0,0"/>
              <v:stroke on="f"/>
              <v:imagedata o:title=""/>
              <o:lock v:ext="edit" aspectratio="f"/>
              <v:textbox inset="0mm,0mm,0mm,0mm" style="mso-fit-shape-to-text:t;">
                <w:txbxContent>
                  <w:p w14:paraId="7ABD0620">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ZWEwMDhiZTRkZjQwNjI4NTAwZmM4Mzc0YzJjYzUifQ=="/>
  </w:docVars>
  <w:rsids>
    <w:rsidRoot w:val="687B3B6E"/>
    <w:rsid w:val="000221CE"/>
    <w:rsid w:val="00026CC4"/>
    <w:rsid w:val="00067452"/>
    <w:rsid w:val="00095104"/>
    <w:rsid w:val="000A217F"/>
    <w:rsid w:val="000C2AAC"/>
    <w:rsid w:val="000D13E1"/>
    <w:rsid w:val="000F333F"/>
    <w:rsid w:val="00112F32"/>
    <w:rsid w:val="0011465D"/>
    <w:rsid w:val="00120E88"/>
    <w:rsid w:val="001233B3"/>
    <w:rsid w:val="00123CB0"/>
    <w:rsid w:val="001241E3"/>
    <w:rsid w:val="00132655"/>
    <w:rsid w:val="00144594"/>
    <w:rsid w:val="001549EC"/>
    <w:rsid w:val="00173817"/>
    <w:rsid w:val="00184351"/>
    <w:rsid w:val="0019329D"/>
    <w:rsid w:val="001D445A"/>
    <w:rsid w:val="001D6DDE"/>
    <w:rsid w:val="001E2915"/>
    <w:rsid w:val="00250B23"/>
    <w:rsid w:val="00253FC5"/>
    <w:rsid w:val="00270A71"/>
    <w:rsid w:val="00292DE5"/>
    <w:rsid w:val="002971EA"/>
    <w:rsid w:val="002A3CB6"/>
    <w:rsid w:val="002E325C"/>
    <w:rsid w:val="002E7B30"/>
    <w:rsid w:val="003124F5"/>
    <w:rsid w:val="00314767"/>
    <w:rsid w:val="003154F1"/>
    <w:rsid w:val="00320FC8"/>
    <w:rsid w:val="0032675F"/>
    <w:rsid w:val="00337973"/>
    <w:rsid w:val="00340AB8"/>
    <w:rsid w:val="00350F41"/>
    <w:rsid w:val="00357471"/>
    <w:rsid w:val="003612B0"/>
    <w:rsid w:val="00361928"/>
    <w:rsid w:val="00370873"/>
    <w:rsid w:val="003769B4"/>
    <w:rsid w:val="003A3584"/>
    <w:rsid w:val="003B42D4"/>
    <w:rsid w:val="003B47DA"/>
    <w:rsid w:val="003B7EEB"/>
    <w:rsid w:val="003D141D"/>
    <w:rsid w:val="003D7083"/>
    <w:rsid w:val="003E1989"/>
    <w:rsid w:val="004104B2"/>
    <w:rsid w:val="00435EE1"/>
    <w:rsid w:val="00442B14"/>
    <w:rsid w:val="0046150C"/>
    <w:rsid w:val="00485420"/>
    <w:rsid w:val="00492146"/>
    <w:rsid w:val="00495CC2"/>
    <w:rsid w:val="004A1462"/>
    <w:rsid w:val="004B063B"/>
    <w:rsid w:val="004B6F7B"/>
    <w:rsid w:val="004D5824"/>
    <w:rsid w:val="004F5577"/>
    <w:rsid w:val="005043E7"/>
    <w:rsid w:val="00514C4C"/>
    <w:rsid w:val="00542681"/>
    <w:rsid w:val="005658CE"/>
    <w:rsid w:val="0058116C"/>
    <w:rsid w:val="00593ED4"/>
    <w:rsid w:val="00597FCA"/>
    <w:rsid w:val="005A5978"/>
    <w:rsid w:val="005C23A8"/>
    <w:rsid w:val="005C4BF3"/>
    <w:rsid w:val="005C79ED"/>
    <w:rsid w:val="005E1C56"/>
    <w:rsid w:val="005F2B74"/>
    <w:rsid w:val="00600143"/>
    <w:rsid w:val="00620925"/>
    <w:rsid w:val="00621E15"/>
    <w:rsid w:val="00623327"/>
    <w:rsid w:val="0062614A"/>
    <w:rsid w:val="00633675"/>
    <w:rsid w:val="006505C1"/>
    <w:rsid w:val="0065369C"/>
    <w:rsid w:val="0066390B"/>
    <w:rsid w:val="006A3C03"/>
    <w:rsid w:val="006B310E"/>
    <w:rsid w:val="006D2DA0"/>
    <w:rsid w:val="006D4962"/>
    <w:rsid w:val="00713CD8"/>
    <w:rsid w:val="00737E6D"/>
    <w:rsid w:val="0075556B"/>
    <w:rsid w:val="007578EA"/>
    <w:rsid w:val="007675DD"/>
    <w:rsid w:val="007721F9"/>
    <w:rsid w:val="007722BE"/>
    <w:rsid w:val="0077392C"/>
    <w:rsid w:val="00780E0D"/>
    <w:rsid w:val="00794315"/>
    <w:rsid w:val="007A10E6"/>
    <w:rsid w:val="007B70C1"/>
    <w:rsid w:val="007C0567"/>
    <w:rsid w:val="007C2DF3"/>
    <w:rsid w:val="007F019D"/>
    <w:rsid w:val="007F29C8"/>
    <w:rsid w:val="00803F27"/>
    <w:rsid w:val="00807A9B"/>
    <w:rsid w:val="00822803"/>
    <w:rsid w:val="0083012C"/>
    <w:rsid w:val="008372F2"/>
    <w:rsid w:val="00837AD8"/>
    <w:rsid w:val="008445AE"/>
    <w:rsid w:val="0085173B"/>
    <w:rsid w:val="00870358"/>
    <w:rsid w:val="008711DD"/>
    <w:rsid w:val="00874D93"/>
    <w:rsid w:val="00896C53"/>
    <w:rsid w:val="008A3E7D"/>
    <w:rsid w:val="008B13C2"/>
    <w:rsid w:val="008B373A"/>
    <w:rsid w:val="008C08AB"/>
    <w:rsid w:val="008D5906"/>
    <w:rsid w:val="008E0888"/>
    <w:rsid w:val="00945399"/>
    <w:rsid w:val="00970DA8"/>
    <w:rsid w:val="00985B0B"/>
    <w:rsid w:val="009D1066"/>
    <w:rsid w:val="009D34D1"/>
    <w:rsid w:val="009E7A17"/>
    <w:rsid w:val="009F101A"/>
    <w:rsid w:val="009F7BB6"/>
    <w:rsid w:val="00A07727"/>
    <w:rsid w:val="00A56834"/>
    <w:rsid w:val="00A61177"/>
    <w:rsid w:val="00A625CF"/>
    <w:rsid w:val="00A76595"/>
    <w:rsid w:val="00A769B0"/>
    <w:rsid w:val="00A83343"/>
    <w:rsid w:val="00A96B52"/>
    <w:rsid w:val="00AA3D5C"/>
    <w:rsid w:val="00AB1552"/>
    <w:rsid w:val="00AD08C1"/>
    <w:rsid w:val="00B35653"/>
    <w:rsid w:val="00B372E5"/>
    <w:rsid w:val="00B44ED1"/>
    <w:rsid w:val="00B4512A"/>
    <w:rsid w:val="00B61F81"/>
    <w:rsid w:val="00B64F2E"/>
    <w:rsid w:val="00B81179"/>
    <w:rsid w:val="00B83B20"/>
    <w:rsid w:val="00B95C24"/>
    <w:rsid w:val="00BB19AF"/>
    <w:rsid w:val="00BE1936"/>
    <w:rsid w:val="00BF59C9"/>
    <w:rsid w:val="00BF6623"/>
    <w:rsid w:val="00C171E7"/>
    <w:rsid w:val="00C22482"/>
    <w:rsid w:val="00C32B08"/>
    <w:rsid w:val="00C33355"/>
    <w:rsid w:val="00C3418C"/>
    <w:rsid w:val="00C40B7B"/>
    <w:rsid w:val="00C6235D"/>
    <w:rsid w:val="00CC38CF"/>
    <w:rsid w:val="00CE1AB9"/>
    <w:rsid w:val="00CE3828"/>
    <w:rsid w:val="00CE3E82"/>
    <w:rsid w:val="00D1047A"/>
    <w:rsid w:val="00D2038A"/>
    <w:rsid w:val="00D236D8"/>
    <w:rsid w:val="00D36206"/>
    <w:rsid w:val="00D5271E"/>
    <w:rsid w:val="00D76CD2"/>
    <w:rsid w:val="00D83D8D"/>
    <w:rsid w:val="00DA0424"/>
    <w:rsid w:val="00DA1CF8"/>
    <w:rsid w:val="00DB2981"/>
    <w:rsid w:val="00DC153C"/>
    <w:rsid w:val="00DC5425"/>
    <w:rsid w:val="00DD360E"/>
    <w:rsid w:val="00DD667E"/>
    <w:rsid w:val="00DE7A3B"/>
    <w:rsid w:val="00DF2ECE"/>
    <w:rsid w:val="00E032D5"/>
    <w:rsid w:val="00E07CF8"/>
    <w:rsid w:val="00E26F65"/>
    <w:rsid w:val="00E36F58"/>
    <w:rsid w:val="00E96E8E"/>
    <w:rsid w:val="00EB1406"/>
    <w:rsid w:val="00F22F29"/>
    <w:rsid w:val="00F30325"/>
    <w:rsid w:val="00F8140F"/>
    <w:rsid w:val="00F955F6"/>
    <w:rsid w:val="00F95E6C"/>
    <w:rsid w:val="00FC5251"/>
    <w:rsid w:val="00FC5B5F"/>
    <w:rsid w:val="00FD5ABE"/>
    <w:rsid w:val="00FD6DEA"/>
    <w:rsid w:val="00FE65EC"/>
    <w:rsid w:val="00FE7E1D"/>
    <w:rsid w:val="00FF1ED6"/>
    <w:rsid w:val="01122A3E"/>
    <w:rsid w:val="013905C9"/>
    <w:rsid w:val="0165281D"/>
    <w:rsid w:val="01BA7A34"/>
    <w:rsid w:val="021A6A02"/>
    <w:rsid w:val="02A62CD9"/>
    <w:rsid w:val="0396584D"/>
    <w:rsid w:val="04A227D4"/>
    <w:rsid w:val="05621003"/>
    <w:rsid w:val="061D129E"/>
    <w:rsid w:val="063F0107"/>
    <w:rsid w:val="06851D55"/>
    <w:rsid w:val="06EF1BEF"/>
    <w:rsid w:val="072C71F4"/>
    <w:rsid w:val="07BA41E3"/>
    <w:rsid w:val="08AC64CE"/>
    <w:rsid w:val="08AE7105"/>
    <w:rsid w:val="08BB2C8F"/>
    <w:rsid w:val="08E56B18"/>
    <w:rsid w:val="09311341"/>
    <w:rsid w:val="09FA5E9F"/>
    <w:rsid w:val="0A3539F7"/>
    <w:rsid w:val="0A5D022A"/>
    <w:rsid w:val="0AA13933"/>
    <w:rsid w:val="0AA97497"/>
    <w:rsid w:val="0C5F7671"/>
    <w:rsid w:val="0C756CD5"/>
    <w:rsid w:val="0DA10BA0"/>
    <w:rsid w:val="0E000FE5"/>
    <w:rsid w:val="0E0664A0"/>
    <w:rsid w:val="0EBB048A"/>
    <w:rsid w:val="0EFB7DFA"/>
    <w:rsid w:val="0F093753"/>
    <w:rsid w:val="0F6E456C"/>
    <w:rsid w:val="0FA1006F"/>
    <w:rsid w:val="10891DDF"/>
    <w:rsid w:val="10F70BE2"/>
    <w:rsid w:val="110D2D7F"/>
    <w:rsid w:val="11116E78"/>
    <w:rsid w:val="118A0F34"/>
    <w:rsid w:val="12311A55"/>
    <w:rsid w:val="13212D73"/>
    <w:rsid w:val="14A54000"/>
    <w:rsid w:val="14D73DC8"/>
    <w:rsid w:val="151108BA"/>
    <w:rsid w:val="154407E1"/>
    <w:rsid w:val="155C4D6F"/>
    <w:rsid w:val="16132651"/>
    <w:rsid w:val="162506BF"/>
    <w:rsid w:val="164A6F17"/>
    <w:rsid w:val="172D4BCD"/>
    <w:rsid w:val="178F58B6"/>
    <w:rsid w:val="17A017ED"/>
    <w:rsid w:val="190E3B27"/>
    <w:rsid w:val="19B93105"/>
    <w:rsid w:val="19E019E0"/>
    <w:rsid w:val="1A284D82"/>
    <w:rsid w:val="1A8A5B07"/>
    <w:rsid w:val="1AFF768E"/>
    <w:rsid w:val="1D1A349D"/>
    <w:rsid w:val="1D737E7A"/>
    <w:rsid w:val="1DC906F6"/>
    <w:rsid w:val="1DD87996"/>
    <w:rsid w:val="1E5B26DE"/>
    <w:rsid w:val="1F2B6B89"/>
    <w:rsid w:val="1F6D0A6D"/>
    <w:rsid w:val="203A576E"/>
    <w:rsid w:val="22504F25"/>
    <w:rsid w:val="23851931"/>
    <w:rsid w:val="23966D53"/>
    <w:rsid w:val="23F43A44"/>
    <w:rsid w:val="243A28F1"/>
    <w:rsid w:val="24E00722"/>
    <w:rsid w:val="251121AD"/>
    <w:rsid w:val="277E6B9A"/>
    <w:rsid w:val="282C619F"/>
    <w:rsid w:val="28361ED0"/>
    <w:rsid w:val="290E1955"/>
    <w:rsid w:val="2A140EA2"/>
    <w:rsid w:val="2A7F6BB8"/>
    <w:rsid w:val="2A9A2F20"/>
    <w:rsid w:val="2A9E0144"/>
    <w:rsid w:val="2B8E6393"/>
    <w:rsid w:val="2B9C4967"/>
    <w:rsid w:val="2BC412F8"/>
    <w:rsid w:val="2C0B5F9A"/>
    <w:rsid w:val="2CA34FA6"/>
    <w:rsid w:val="2CC16FC5"/>
    <w:rsid w:val="2E66412B"/>
    <w:rsid w:val="2EF91BB0"/>
    <w:rsid w:val="2FE14C71"/>
    <w:rsid w:val="300C72F2"/>
    <w:rsid w:val="303F30F5"/>
    <w:rsid w:val="304F3854"/>
    <w:rsid w:val="30907BA7"/>
    <w:rsid w:val="30B47B0E"/>
    <w:rsid w:val="30EF5CD7"/>
    <w:rsid w:val="31B26ACE"/>
    <w:rsid w:val="32250210"/>
    <w:rsid w:val="32534B84"/>
    <w:rsid w:val="328534FE"/>
    <w:rsid w:val="32C1104E"/>
    <w:rsid w:val="340F6796"/>
    <w:rsid w:val="34350AAF"/>
    <w:rsid w:val="35C76F4B"/>
    <w:rsid w:val="35F333E0"/>
    <w:rsid w:val="366460D8"/>
    <w:rsid w:val="36A73CDD"/>
    <w:rsid w:val="376E4DD6"/>
    <w:rsid w:val="37D360DA"/>
    <w:rsid w:val="37F34923"/>
    <w:rsid w:val="385A4DCD"/>
    <w:rsid w:val="38873844"/>
    <w:rsid w:val="38DE21FE"/>
    <w:rsid w:val="394E6EBA"/>
    <w:rsid w:val="395F7CC9"/>
    <w:rsid w:val="397E488B"/>
    <w:rsid w:val="39A134BB"/>
    <w:rsid w:val="39C8703D"/>
    <w:rsid w:val="39EB1947"/>
    <w:rsid w:val="3A14394F"/>
    <w:rsid w:val="3A9570B9"/>
    <w:rsid w:val="3AAB0D98"/>
    <w:rsid w:val="3AB15793"/>
    <w:rsid w:val="3AF66969"/>
    <w:rsid w:val="3B0722D1"/>
    <w:rsid w:val="3B2158F6"/>
    <w:rsid w:val="3C5338D6"/>
    <w:rsid w:val="3C8167B3"/>
    <w:rsid w:val="3D3B7A02"/>
    <w:rsid w:val="3D8A36C7"/>
    <w:rsid w:val="3D9C2934"/>
    <w:rsid w:val="3E400322"/>
    <w:rsid w:val="3F497DC4"/>
    <w:rsid w:val="3FF374B4"/>
    <w:rsid w:val="414F3EC2"/>
    <w:rsid w:val="41921365"/>
    <w:rsid w:val="4230250D"/>
    <w:rsid w:val="434E38EC"/>
    <w:rsid w:val="44DB6BB4"/>
    <w:rsid w:val="45F30E2A"/>
    <w:rsid w:val="45F73AE1"/>
    <w:rsid w:val="46114E27"/>
    <w:rsid w:val="461C22C7"/>
    <w:rsid w:val="48A92627"/>
    <w:rsid w:val="49337CCE"/>
    <w:rsid w:val="49510D10"/>
    <w:rsid w:val="4A2570BC"/>
    <w:rsid w:val="4A5F16DC"/>
    <w:rsid w:val="4B1A19D6"/>
    <w:rsid w:val="4B8E2F1B"/>
    <w:rsid w:val="4BAD2711"/>
    <w:rsid w:val="4C620FE9"/>
    <w:rsid w:val="4D1005A7"/>
    <w:rsid w:val="4E4C7CC5"/>
    <w:rsid w:val="4E8846C5"/>
    <w:rsid w:val="4F9779B6"/>
    <w:rsid w:val="4FD83649"/>
    <w:rsid w:val="51674C9D"/>
    <w:rsid w:val="51820700"/>
    <w:rsid w:val="51C17969"/>
    <w:rsid w:val="52475496"/>
    <w:rsid w:val="525B7CA6"/>
    <w:rsid w:val="52861FF9"/>
    <w:rsid w:val="52D4632B"/>
    <w:rsid w:val="53313B96"/>
    <w:rsid w:val="53757CBB"/>
    <w:rsid w:val="53866484"/>
    <w:rsid w:val="542F224D"/>
    <w:rsid w:val="54EA3C80"/>
    <w:rsid w:val="554A0D12"/>
    <w:rsid w:val="55934BE1"/>
    <w:rsid w:val="563C7D97"/>
    <w:rsid w:val="56A64375"/>
    <w:rsid w:val="5729387F"/>
    <w:rsid w:val="57585A6B"/>
    <w:rsid w:val="576B1D06"/>
    <w:rsid w:val="578F3F93"/>
    <w:rsid w:val="58D11288"/>
    <w:rsid w:val="59494AF5"/>
    <w:rsid w:val="594E4102"/>
    <w:rsid w:val="59AC6336"/>
    <w:rsid w:val="5A9E6187"/>
    <w:rsid w:val="5B94011A"/>
    <w:rsid w:val="5C33538B"/>
    <w:rsid w:val="5C716133"/>
    <w:rsid w:val="5CC97C7D"/>
    <w:rsid w:val="5CF4410A"/>
    <w:rsid w:val="5D274813"/>
    <w:rsid w:val="5D55306D"/>
    <w:rsid w:val="5D5C7A4F"/>
    <w:rsid w:val="5E0D6E75"/>
    <w:rsid w:val="5FAD14D5"/>
    <w:rsid w:val="5FC42A60"/>
    <w:rsid w:val="5FF7255F"/>
    <w:rsid w:val="60425A7F"/>
    <w:rsid w:val="60B210E6"/>
    <w:rsid w:val="60BE12E1"/>
    <w:rsid w:val="62020BBC"/>
    <w:rsid w:val="620E7EDE"/>
    <w:rsid w:val="623C714E"/>
    <w:rsid w:val="629C247E"/>
    <w:rsid w:val="62F17CC0"/>
    <w:rsid w:val="63151EB5"/>
    <w:rsid w:val="633267DD"/>
    <w:rsid w:val="636B4FAC"/>
    <w:rsid w:val="653B013D"/>
    <w:rsid w:val="65CE30EE"/>
    <w:rsid w:val="661167C5"/>
    <w:rsid w:val="661E6F95"/>
    <w:rsid w:val="662936FB"/>
    <w:rsid w:val="669B35F5"/>
    <w:rsid w:val="66AE09F4"/>
    <w:rsid w:val="6743439A"/>
    <w:rsid w:val="67C50C0E"/>
    <w:rsid w:val="67F22572"/>
    <w:rsid w:val="67F35835"/>
    <w:rsid w:val="687B3B6E"/>
    <w:rsid w:val="689130DF"/>
    <w:rsid w:val="694A1C1A"/>
    <w:rsid w:val="6A330786"/>
    <w:rsid w:val="6B1204D2"/>
    <w:rsid w:val="6B1F2ABF"/>
    <w:rsid w:val="6B1F628A"/>
    <w:rsid w:val="6B724F5C"/>
    <w:rsid w:val="6B875F91"/>
    <w:rsid w:val="6BD256E1"/>
    <w:rsid w:val="6BE94974"/>
    <w:rsid w:val="6C7462D8"/>
    <w:rsid w:val="6C961A26"/>
    <w:rsid w:val="6C9A7968"/>
    <w:rsid w:val="6D836A2C"/>
    <w:rsid w:val="6F591747"/>
    <w:rsid w:val="6F98796D"/>
    <w:rsid w:val="704910CD"/>
    <w:rsid w:val="708341ED"/>
    <w:rsid w:val="70DF242A"/>
    <w:rsid w:val="71313096"/>
    <w:rsid w:val="7153709D"/>
    <w:rsid w:val="723C01C1"/>
    <w:rsid w:val="74180603"/>
    <w:rsid w:val="74C9117B"/>
    <w:rsid w:val="752633C9"/>
    <w:rsid w:val="758F5E13"/>
    <w:rsid w:val="758F6421"/>
    <w:rsid w:val="75D934E2"/>
    <w:rsid w:val="75F16195"/>
    <w:rsid w:val="76A1412A"/>
    <w:rsid w:val="76F712AF"/>
    <w:rsid w:val="77C238B1"/>
    <w:rsid w:val="77CB25C9"/>
    <w:rsid w:val="77D75BF6"/>
    <w:rsid w:val="77F95430"/>
    <w:rsid w:val="79571B0C"/>
    <w:rsid w:val="79597B21"/>
    <w:rsid w:val="79774997"/>
    <w:rsid w:val="798216DD"/>
    <w:rsid w:val="79CD0085"/>
    <w:rsid w:val="7A8B45DD"/>
    <w:rsid w:val="7C1F7174"/>
    <w:rsid w:val="7C346744"/>
    <w:rsid w:val="7D0D59E5"/>
    <w:rsid w:val="7D31638C"/>
    <w:rsid w:val="7D703027"/>
    <w:rsid w:val="7DD43889"/>
    <w:rsid w:val="7E4A03D9"/>
    <w:rsid w:val="7E701C2B"/>
    <w:rsid w:val="7FF6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8" w:lineRule="exact"/>
      <w:jc w:val="both"/>
    </w:pPr>
    <w:rPr>
      <w:rFonts w:ascii="Times New Roman" w:hAnsi="Times New Roman" w:eastAsia="宋体" w:cs="Times New Roman"/>
      <w:kern w:val="2"/>
      <w:sz w:val="32"/>
      <w:szCs w:val="24"/>
      <w:lang w:val="en-US" w:eastAsia="zh-CN" w:bidi="ar-SA"/>
    </w:rPr>
  </w:style>
  <w:style w:type="paragraph" w:styleId="8">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9">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0"/>
      <w:ind w:left="0" w:leftChars="0" w:firstLine="880" w:firstLineChars="200"/>
    </w:pPr>
    <w:rPr>
      <w:rFonts w:ascii="Calibri" w:hAnsi="Calibri" w:eastAsia="Times New Roman"/>
      <w:szCs w:val="32"/>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1"/>
    <w:qFormat/>
    <w:uiPriority w:val="0"/>
    <w:pPr>
      <w:widowControl w:val="0"/>
      <w:ind w:firstLine="420" w:firstLineChars="100"/>
    </w:pPr>
    <w:rPr>
      <w:sz w:val="21"/>
    </w:rPr>
  </w:style>
  <w:style w:type="paragraph" w:styleId="5">
    <w:name w:val="Body Text"/>
    <w:basedOn w:val="1"/>
    <w:next w:val="6"/>
    <w:qFormat/>
    <w:uiPriority w:val="0"/>
    <w:pPr>
      <w:spacing w:after="120"/>
    </w:pPr>
  </w:style>
  <w:style w:type="paragraph" w:styleId="6">
    <w:name w:val="Body Text 2"/>
    <w:basedOn w:val="1"/>
    <w:next w:val="7"/>
    <w:unhideWhenUsed/>
    <w:qFormat/>
    <w:uiPriority w:val="99"/>
    <w:pPr>
      <w:spacing w:after="120" w:line="480" w:lineRule="auto"/>
    </w:pPr>
  </w:style>
  <w:style w:type="paragraph" w:styleId="7">
    <w:name w:val="footer"/>
    <w:basedOn w:val="1"/>
    <w:next w:val="1"/>
    <w:uiPriority w:val="0"/>
    <w:pPr>
      <w:tabs>
        <w:tab w:val="center" w:pos="4153"/>
        <w:tab w:val="right" w:pos="8306"/>
      </w:tabs>
      <w:snapToGrid w:val="0"/>
      <w:jc w:val="left"/>
    </w:pPr>
    <w:rPr>
      <w:sz w:val="18"/>
    </w:rPr>
  </w:style>
  <w:style w:type="paragraph" w:styleId="10">
    <w:name w:val="table of authorities"/>
    <w:basedOn w:val="1"/>
    <w:next w:val="1"/>
    <w:unhideWhenUsed/>
    <w:qFormat/>
    <w:uiPriority w:val="99"/>
    <w:pPr>
      <w:ind w:left="200" w:leftChars="200"/>
    </w:pPr>
  </w:style>
  <w:style w:type="paragraph" w:styleId="11">
    <w:name w:val="Body Text Indent 2"/>
    <w:basedOn w:val="1"/>
    <w:qFormat/>
    <w:uiPriority w:val="0"/>
    <w:pPr>
      <w:tabs>
        <w:tab w:val="left" w:pos="8085"/>
      </w:tabs>
      <w:spacing w:line="480" w:lineRule="auto"/>
      <w:ind w:left="420" w:leftChars="200"/>
    </w:p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Normal (Web)"/>
    <w:basedOn w:val="1"/>
    <w:uiPriority w:val="0"/>
    <w:pPr>
      <w:spacing w:before="100" w:beforeAutospacing="1" w:after="100" w:afterAutospacing="1"/>
      <w:jc w:val="left"/>
    </w:pPr>
    <w:rPr>
      <w:kern w:val="0"/>
      <w:sz w:val="24"/>
    </w:rPr>
  </w:style>
  <w:style w:type="character" w:styleId="16">
    <w:name w:val="Strong"/>
    <w:qFormat/>
    <w:uiPriority w:val="0"/>
    <w:rPr>
      <w:b/>
    </w:rPr>
  </w:style>
  <w:style w:type="paragraph" w:customStyle="1" w:styleId="17">
    <w:name w:val="正文文本 21"/>
    <w:basedOn w:val="1"/>
    <w:qFormat/>
    <w:uiPriority w:val="0"/>
    <w:pPr>
      <w:spacing w:before="100" w:after="120" w:line="480" w:lineRule="auto"/>
    </w:pPr>
    <w:rPr>
      <w:rFonts w:ascii="Calibri" w:hAnsi="Calibri" w:cs="Calibri"/>
      <w:szCs w:val="21"/>
    </w:rPr>
  </w:style>
  <w:style w:type="paragraph" w:customStyle="1" w:styleId="18">
    <w:name w:val="样式 正文文字 + 首行缩进:  2 字符2"/>
    <w:basedOn w:val="1"/>
    <w:qFormat/>
    <w:uiPriority w:val="0"/>
    <w:pPr>
      <w:spacing w:line="480" w:lineRule="atLeast"/>
      <w:ind w:firstLine="560" w:firstLineChars="200"/>
    </w:pPr>
    <w:rPr>
      <w:rFonts w:ascii="宋体" w:cs="宋体"/>
      <w:spacing w:val="20"/>
      <w:kern w:val="0"/>
      <w:sz w:val="24"/>
    </w:rPr>
  </w:style>
  <w:style w:type="paragraph" w:customStyle="1" w:styleId="19">
    <w:name w:val="仿宋正文"/>
    <w:basedOn w:val="1"/>
    <w:qFormat/>
    <w:uiPriority w:val="99"/>
    <w:pPr>
      <w:spacing w:line="600" w:lineRule="exact"/>
      <w:ind w:firstLine="420" w:firstLineChars="200"/>
    </w:pPr>
    <w:rPr>
      <w:rFonts w:eastAsia="方正仿宋简体"/>
      <w:szCs w:val="32"/>
    </w:rPr>
  </w:style>
  <w:style w:type="paragraph" w:customStyle="1" w:styleId="20">
    <w:name w:val="Default"/>
    <w:qFormat/>
    <w:uiPriority w:val="0"/>
    <w:pPr>
      <w:widowControl w:val="0"/>
      <w:autoSpaceDE w:val="0"/>
      <w:autoSpaceDN w:val="0"/>
      <w:adjustRightInd w:val="0"/>
      <w:spacing w:line="578" w:lineRule="exact"/>
      <w:jc w:val="both"/>
    </w:pPr>
    <w:rPr>
      <w:rFonts w:ascii="Calibri" w:hAnsi="Calibri" w:eastAsia="宋体" w:cs="Times New Roman"/>
      <w:color w:val="000000"/>
      <w:kern w:val="2"/>
      <w:sz w:val="24"/>
      <w:szCs w:val="22"/>
      <w:lang w:val="en-US" w:eastAsia="zh-CN" w:bidi="ar-SA"/>
    </w:rPr>
  </w:style>
  <w:style w:type="paragraph" w:customStyle="1" w:styleId="21">
    <w:name w:val="table of authorities1"/>
    <w:basedOn w:val="1"/>
    <w:next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13821</Words>
  <Characters>14478</Characters>
  <Lines>110</Lines>
  <Paragraphs>31</Paragraphs>
  <TotalTime>24</TotalTime>
  <ScaleCrop>false</ScaleCrop>
  <LinksUpToDate>false</LinksUpToDate>
  <CharactersWithSpaces>14899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2025-01-20T12:10:00Z</dcterms:created>
  <dc:creator>轩尼诗</dc:creator>
  <cp:lastModifiedBy>相信未来</cp:lastModifiedBy>
  <cp:lastPrinted>2025-01-16T06:16:00Z</cp:lastPrinted>
  <dcterms:modified xsi:type="dcterms:W3CDTF">2025-01-22T07:52:29Z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eyJoZGlkIjoiZTJhMzJhMzZjMDNiMDRjZTVhZDEyOTY3NjA0MmRiNTUiLCJ1c2VySWQiOiIzMTIwNzEzMzUifQ==</vt:lpwstr>
  </property>
  <property fmtid="{D5CDD505-2E9C-101B-9397-08002B2CF9AE}" pid="4" name="ICV">
    <vt:lpwstr>B7ADD60012AF4C6683568CEEDE8B1883_13</vt:lpwstr>
  </property>
</Properties>
</file>