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79B" w:rsidRDefault="00616426">
      <w:pPr>
        <w:rPr>
          <w:rFonts w:ascii="Times New Roman" w:eastAsia="黑体"/>
          <w:sz w:val="36"/>
          <w:szCs w:val="36"/>
        </w:rPr>
      </w:pPr>
      <w:r>
        <w:rPr>
          <w:rFonts w:ascii="Times New Roman" w:eastAsia="黑体"/>
        </w:rPr>
        <w:t>附</w:t>
      </w:r>
      <w:r>
        <w:rPr>
          <w:rFonts w:ascii="Times New Roman" w:eastAsia="黑体" w:hint="eastAsia"/>
        </w:rPr>
        <w:t xml:space="preserve">  </w:t>
      </w:r>
      <w:r>
        <w:rPr>
          <w:rFonts w:ascii="Times New Roman" w:eastAsia="黑体"/>
        </w:rPr>
        <w:t>件</w:t>
      </w:r>
      <w:r w:rsidR="000D6859">
        <w:rPr>
          <w:rFonts w:ascii="Times New Roman" w:eastAsia="黑体" w:hint="eastAsia"/>
        </w:rPr>
        <w:t>2</w:t>
      </w:r>
      <w:bookmarkStart w:id="0" w:name="_GoBack"/>
      <w:bookmarkEnd w:id="0"/>
    </w:p>
    <w:p w:rsidR="006E779B" w:rsidRDefault="006E779B">
      <w:pPr>
        <w:pStyle w:val="21"/>
        <w:spacing w:after="0" w:line="600" w:lineRule="exact"/>
        <w:ind w:leftChars="0" w:left="0"/>
        <w:rPr>
          <w:rFonts w:ascii="方正小标宋简体" w:eastAsia="方正小标宋简体" w:hAnsi="方正小标宋简体" w:cs="方正小标宋简体"/>
          <w:szCs w:val="32"/>
        </w:rPr>
      </w:pPr>
    </w:p>
    <w:p w:rsidR="006E779B" w:rsidRDefault="00616426">
      <w:pPr>
        <w:pStyle w:val="21"/>
        <w:spacing w:after="0" w:line="600" w:lineRule="exact"/>
        <w:ind w:leftChars="0" w:left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0D6859" w:rsidRPr="000D6859">
        <w:rPr>
          <w:rFonts w:ascii="方正小标宋简体" w:eastAsia="方正小标宋简体" w:hAnsi="方正小标宋简体" w:cs="方正小标宋简体" w:hint="eastAsia"/>
          <w:sz w:val="44"/>
          <w:szCs w:val="44"/>
        </w:rPr>
        <w:t>黔东南州惠民惠农财政补贴资金“一卡通” 集中统发目录</w:t>
      </w:r>
    </w:p>
    <w:p w:rsidR="006E779B" w:rsidRDefault="006E779B">
      <w:pPr>
        <w:rPr>
          <w:rFonts w:ascii="Times New Roman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1043"/>
        <w:gridCol w:w="735"/>
        <w:gridCol w:w="1890"/>
        <w:gridCol w:w="615"/>
        <w:gridCol w:w="1305"/>
        <w:gridCol w:w="2370"/>
        <w:gridCol w:w="3018"/>
        <w:gridCol w:w="1221"/>
      </w:tblGrid>
      <w:tr w:rsidR="006E779B">
        <w:trPr>
          <w:trHeight w:val="490"/>
          <w:tblHeader/>
          <w:jc w:val="center"/>
        </w:trPr>
        <w:tc>
          <w:tcPr>
            <w:tcW w:w="558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779B" w:rsidRDefault="00616426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778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779B" w:rsidRDefault="00616426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业务主管部门名称</w:t>
            </w:r>
          </w:p>
        </w:tc>
        <w:tc>
          <w:tcPr>
            <w:tcW w:w="250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779B" w:rsidRDefault="00616426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统发补贴项目名称</w:t>
            </w:r>
          </w:p>
        </w:tc>
        <w:tc>
          <w:tcPr>
            <w:tcW w:w="130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779B" w:rsidRDefault="0061642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补贴发放</w:t>
            </w:r>
          </w:p>
          <w:p w:rsidR="006E779B" w:rsidRDefault="00616426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频次</w:t>
            </w:r>
          </w:p>
        </w:tc>
        <w:tc>
          <w:tcPr>
            <w:tcW w:w="23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779B" w:rsidRDefault="00616426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补贴发放时间</w:t>
            </w:r>
          </w:p>
        </w:tc>
        <w:tc>
          <w:tcPr>
            <w:tcW w:w="3018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779B" w:rsidRDefault="00616426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全年应发数填报说明</w:t>
            </w:r>
          </w:p>
        </w:tc>
        <w:tc>
          <w:tcPr>
            <w:tcW w:w="1221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779B" w:rsidRDefault="00616426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（补贴对象）</w:t>
            </w:r>
          </w:p>
        </w:tc>
      </w:tr>
      <w:tr w:rsidR="006E779B">
        <w:trPr>
          <w:trHeight w:val="278"/>
          <w:tblHeader/>
          <w:jc w:val="center"/>
        </w:trPr>
        <w:tc>
          <w:tcPr>
            <w:tcW w:w="558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779B" w:rsidRDefault="006E779B">
            <w:pPr>
              <w:widowControl/>
              <w:spacing w:line="320" w:lineRule="exact"/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779B" w:rsidRDefault="00616426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全称</w:t>
            </w:r>
          </w:p>
        </w:tc>
        <w:tc>
          <w:tcPr>
            <w:tcW w:w="73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779B" w:rsidRDefault="00616426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简称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779B" w:rsidRDefault="00616426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全称</w:t>
            </w:r>
          </w:p>
        </w:tc>
        <w:tc>
          <w:tcPr>
            <w:tcW w:w="61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779B" w:rsidRDefault="00616426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简称</w:t>
            </w:r>
          </w:p>
        </w:tc>
        <w:tc>
          <w:tcPr>
            <w:tcW w:w="1305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779B" w:rsidRDefault="006E779B">
            <w:pPr>
              <w:widowControl/>
              <w:spacing w:line="320" w:lineRule="exact"/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779B" w:rsidRDefault="006E779B">
            <w:pPr>
              <w:widowControl/>
              <w:spacing w:line="320" w:lineRule="exact"/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3018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779B" w:rsidRDefault="006E779B">
            <w:pPr>
              <w:widowControl/>
              <w:spacing w:line="320" w:lineRule="exact"/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779B" w:rsidRDefault="006E779B">
            <w:pPr>
              <w:widowControl/>
              <w:spacing w:line="320" w:lineRule="exact"/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0D6859" w:rsidRPr="000D6859" w:rsidTr="000D6859">
        <w:trPr>
          <w:trHeight w:val="2895"/>
          <w:jc w:val="center"/>
        </w:trPr>
        <w:tc>
          <w:tcPr>
            <w:tcW w:w="55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859" w:rsidRDefault="000D6859">
            <w:pPr>
              <w:widowControl/>
              <w:spacing w:line="240" w:lineRule="exact"/>
              <w:jc w:val="center"/>
              <w:textAlignment w:val="center"/>
              <w:rPr>
                <w:rFonts w:hAnsi="仿宋_GB2312" w:cs="仿宋_GB2312"/>
                <w:color w:val="000000"/>
                <w:sz w:val="20"/>
                <w:szCs w:val="20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  <w:p w:rsidR="000D6859" w:rsidRDefault="000D6859" w:rsidP="001417BA">
            <w:pPr>
              <w:spacing w:line="240" w:lineRule="exact"/>
              <w:jc w:val="center"/>
              <w:textAlignment w:val="center"/>
              <w:rPr>
                <w:rFonts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D6859" w:rsidRDefault="000D6859">
            <w:pPr>
              <w:widowControl/>
              <w:spacing w:line="240" w:lineRule="exact"/>
              <w:jc w:val="center"/>
              <w:textAlignment w:val="center"/>
              <w:rPr>
                <w:rFonts w:hAnsi="仿宋_GB2312" w:cs="仿宋_GB2312"/>
                <w:color w:val="000000"/>
                <w:sz w:val="20"/>
                <w:szCs w:val="20"/>
              </w:rPr>
            </w:pPr>
            <w:r w:rsidRPr="000D6859">
              <w:rPr>
                <w:rFonts w:hAnsi="仿宋_GB2312" w:cs="仿宋_GB2312" w:hint="eastAsia"/>
                <w:color w:val="000000"/>
                <w:sz w:val="20"/>
                <w:szCs w:val="20"/>
              </w:rPr>
              <w:t>黔东南</w:t>
            </w:r>
            <w:proofErr w:type="gramStart"/>
            <w:r w:rsidRPr="000D6859">
              <w:rPr>
                <w:rFonts w:hAnsi="仿宋_GB2312" w:cs="仿宋_GB2312" w:hint="eastAsia"/>
                <w:color w:val="000000"/>
                <w:sz w:val="20"/>
                <w:szCs w:val="20"/>
              </w:rPr>
              <w:t>州卫生</w:t>
            </w:r>
            <w:proofErr w:type="gramEnd"/>
            <w:r w:rsidRPr="000D6859">
              <w:rPr>
                <w:rFonts w:hAnsi="仿宋_GB2312" w:cs="仿宋_GB2312" w:hint="eastAsia"/>
                <w:color w:val="000000"/>
                <w:sz w:val="20"/>
                <w:szCs w:val="20"/>
              </w:rPr>
              <w:t>健康局</w:t>
            </w:r>
          </w:p>
        </w:tc>
        <w:tc>
          <w:tcPr>
            <w:tcW w:w="73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859" w:rsidRDefault="000D6859">
            <w:pPr>
              <w:widowControl/>
              <w:spacing w:line="240" w:lineRule="exact"/>
              <w:jc w:val="center"/>
              <w:textAlignment w:val="center"/>
              <w:rPr>
                <w:rFonts w:hAnsi="仿宋_GB2312" w:cs="仿宋_GB2312"/>
                <w:color w:val="000000"/>
                <w:sz w:val="20"/>
                <w:szCs w:val="20"/>
              </w:rPr>
            </w:pPr>
            <w:r w:rsidRPr="000D6859">
              <w:rPr>
                <w:rFonts w:hAnsi="仿宋_GB2312" w:cs="仿宋_GB2312" w:hint="eastAsia"/>
                <w:color w:val="000000"/>
                <w:sz w:val="20"/>
                <w:szCs w:val="20"/>
              </w:rPr>
              <w:t>黔东南</w:t>
            </w:r>
            <w:proofErr w:type="gramStart"/>
            <w:r w:rsidRPr="000D6859">
              <w:rPr>
                <w:rFonts w:hAnsi="仿宋_GB2312" w:cs="仿宋_GB2312" w:hint="eastAsia"/>
                <w:color w:val="000000"/>
                <w:sz w:val="20"/>
                <w:szCs w:val="20"/>
              </w:rPr>
              <w:t>州卫生</w:t>
            </w:r>
            <w:proofErr w:type="gramEnd"/>
            <w:r w:rsidRPr="000D6859">
              <w:rPr>
                <w:rFonts w:hAnsi="仿宋_GB2312" w:cs="仿宋_GB2312" w:hint="eastAsia"/>
                <w:color w:val="000000"/>
                <w:sz w:val="20"/>
                <w:szCs w:val="20"/>
              </w:rPr>
              <w:t>健康局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D6859" w:rsidRDefault="000D6859" w:rsidP="004A7B2D">
            <w:pPr>
              <w:spacing w:line="240" w:lineRule="exact"/>
              <w:jc w:val="center"/>
              <w:textAlignment w:val="center"/>
              <w:rPr>
                <w:rFonts w:hAnsi="仿宋_GB2312" w:cs="仿宋_GB2312"/>
                <w:color w:val="000000"/>
                <w:sz w:val="20"/>
                <w:szCs w:val="20"/>
              </w:rPr>
            </w:pPr>
            <w:r w:rsidRPr="000D6859">
              <w:rPr>
                <w:rFonts w:hAnsi="仿宋_GB2312" w:cs="仿宋_GB2312" w:hint="eastAsia"/>
                <w:color w:val="000000"/>
                <w:sz w:val="20"/>
                <w:szCs w:val="20"/>
              </w:rPr>
              <w:t>计划生育养老保障</w:t>
            </w:r>
          </w:p>
        </w:tc>
        <w:tc>
          <w:tcPr>
            <w:tcW w:w="61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859" w:rsidRDefault="000D6859" w:rsidP="00D164B1">
            <w:pPr>
              <w:spacing w:line="240" w:lineRule="exact"/>
              <w:jc w:val="center"/>
              <w:textAlignment w:val="center"/>
              <w:rPr>
                <w:rFonts w:hAnsi="仿宋_GB2312" w:cs="仿宋_GB2312"/>
                <w:color w:val="000000"/>
                <w:sz w:val="20"/>
                <w:szCs w:val="20"/>
              </w:rPr>
            </w:pPr>
            <w:r w:rsidRPr="000D6859">
              <w:rPr>
                <w:rFonts w:hAnsi="仿宋_GB2312" w:cs="仿宋_GB2312" w:hint="eastAsia"/>
                <w:color w:val="000000"/>
                <w:sz w:val="20"/>
                <w:szCs w:val="20"/>
              </w:rPr>
              <w:t>计划生育养老保障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859" w:rsidRDefault="000D6859" w:rsidP="00560B90">
            <w:pPr>
              <w:spacing w:line="240" w:lineRule="exact"/>
              <w:jc w:val="center"/>
              <w:textAlignment w:val="center"/>
              <w:rPr>
                <w:rFonts w:hAnsi="仿宋_GB2312" w:cs="仿宋_GB2312"/>
                <w:color w:val="000000"/>
                <w:sz w:val="20"/>
                <w:szCs w:val="20"/>
              </w:rPr>
            </w:pPr>
            <w:r w:rsidRPr="000D6859">
              <w:rPr>
                <w:rFonts w:hAnsi="仿宋_GB2312" w:cs="仿宋_GB2312" w:hint="eastAsia"/>
                <w:color w:val="000000"/>
                <w:sz w:val="20"/>
                <w:szCs w:val="20"/>
              </w:rPr>
              <w:t>一年一次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D6859" w:rsidRDefault="000D6859" w:rsidP="005947BD">
            <w:pPr>
              <w:spacing w:line="240" w:lineRule="exact"/>
              <w:jc w:val="center"/>
              <w:textAlignment w:val="center"/>
              <w:rPr>
                <w:rFonts w:hAnsi="仿宋_GB2312" w:cs="仿宋_GB2312"/>
                <w:color w:val="000000"/>
                <w:sz w:val="20"/>
                <w:szCs w:val="20"/>
              </w:rPr>
            </w:pPr>
            <w:r w:rsidRPr="000D6859">
              <w:rPr>
                <w:rFonts w:hAnsi="仿宋_GB2312" w:cs="仿宋_GB2312" w:hint="eastAsia"/>
                <w:color w:val="000000"/>
                <w:sz w:val="20"/>
                <w:szCs w:val="20"/>
              </w:rPr>
              <w:t>从对象年满55周岁其进入州级计划生育养老保障，标准为每人每月80元，从次年起每年递增10元。</w:t>
            </w:r>
          </w:p>
        </w:tc>
        <w:tc>
          <w:tcPr>
            <w:tcW w:w="301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D6859" w:rsidRDefault="000D6859" w:rsidP="00386A4D">
            <w:pPr>
              <w:spacing w:line="240" w:lineRule="exact"/>
              <w:jc w:val="center"/>
              <w:textAlignment w:val="center"/>
              <w:rPr>
                <w:rFonts w:hAnsi="仿宋_GB2312" w:cs="仿宋_GB2312"/>
                <w:color w:val="000000"/>
                <w:sz w:val="20"/>
                <w:szCs w:val="20"/>
              </w:rPr>
            </w:pPr>
            <w:r w:rsidRPr="000D6859">
              <w:rPr>
                <w:rFonts w:hAnsi="仿宋_GB2312" w:cs="仿宋_GB2312" w:hint="eastAsia"/>
                <w:color w:val="000000"/>
                <w:sz w:val="20"/>
                <w:szCs w:val="20"/>
              </w:rPr>
              <w:t>按照《关于对农村部分计划生育家庭实行计划生 育养老奖励救助的规定》（州人领发〔2009〕6 号）文件要求规定的对象范围和确认资格条件将全面应发数录入</w:t>
            </w:r>
            <w:proofErr w:type="gramStart"/>
            <w:r w:rsidRPr="000D6859">
              <w:rPr>
                <w:rFonts w:hAnsi="仿宋_GB2312" w:cs="仿宋_GB2312" w:hint="eastAsia"/>
                <w:color w:val="000000"/>
                <w:sz w:val="20"/>
                <w:szCs w:val="20"/>
              </w:rPr>
              <w:t>一</w:t>
            </w:r>
            <w:proofErr w:type="gramEnd"/>
            <w:r w:rsidRPr="000D6859">
              <w:rPr>
                <w:rFonts w:hAnsi="仿宋_GB2312" w:cs="仿宋_GB2312" w:hint="eastAsia"/>
                <w:color w:val="000000"/>
                <w:sz w:val="20"/>
                <w:szCs w:val="20"/>
              </w:rPr>
              <w:t>卡通系统平台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859" w:rsidRPr="000D6859" w:rsidRDefault="000D6859" w:rsidP="000D6859">
            <w:pPr>
              <w:rPr>
                <w:rFonts w:hAnsi="仿宋_GB2312" w:cs="仿宋_GB2312"/>
                <w:sz w:val="20"/>
                <w:szCs w:val="20"/>
              </w:rPr>
            </w:pPr>
            <w:r w:rsidRPr="000D6859">
              <w:rPr>
                <w:rFonts w:hAnsi="仿宋_GB2312" w:cs="仿宋_GB2312" w:hint="eastAsia"/>
                <w:sz w:val="20"/>
                <w:szCs w:val="20"/>
              </w:rPr>
              <w:t>关于对农村部分计划生育家庭实行计划生 育养老奖励救助的规定（州人领发〔2009〕6 号）</w:t>
            </w:r>
          </w:p>
        </w:tc>
      </w:tr>
      <w:tr w:rsidR="006E779B" w:rsidTr="000D6859">
        <w:trPr>
          <w:trHeight w:val="1809"/>
          <w:jc w:val="center"/>
        </w:trPr>
        <w:tc>
          <w:tcPr>
            <w:tcW w:w="55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779B" w:rsidRDefault="000D6859">
            <w:pPr>
              <w:widowControl/>
              <w:spacing w:line="240" w:lineRule="exact"/>
              <w:jc w:val="center"/>
              <w:textAlignment w:val="center"/>
              <w:rPr>
                <w:rFonts w:hAnsi="仿宋_GB2312" w:cs="仿宋_GB2312"/>
                <w:color w:val="000000"/>
                <w:sz w:val="20"/>
                <w:szCs w:val="20"/>
              </w:rPr>
            </w:pPr>
            <w:r>
              <w:rPr>
                <w:rFonts w:hAnsi="仿宋_GB2312" w:cs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779B" w:rsidRDefault="000D6859">
            <w:pPr>
              <w:widowControl/>
              <w:spacing w:line="240" w:lineRule="exact"/>
              <w:jc w:val="center"/>
              <w:textAlignment w:val="center"/>
              <w:rPr>
                <w:rFonts w:hAnsi="仿宋_GB2312" w:cs="仿宋_GB2312"/>
                <w:sz w:val="20"/>
                <w:szCs w:val="20"/>
              </w:rPr>
            </w:pPr>
            <w:r w:rsidRPr="000D6859">
              <w:rPr>
                <w:rFonts w:hAnsi="仿宋_GB2312" w:cs="仿宋_GB2312" w:hint="eastAsia"/>
                <w:sz w:val="20"/>
                <w:szCs w:val="20"/>
              </w:rPr>
              <w:t>黔东南州林业局</w:t>
            </w:r>
          </w:p>
        </w:tc>
        <w:tc>
          <w:tcPr>
            <w:tcW w:w="73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779B" w:rsidRDefault="000D6859">
            <w:pPr>
              <w:widowControl/>
              <w:spacing w:line="240" w:lineRule="exact"/>
              <w:jc w:val="center"/>
              <w:textAlignment w:val="center"/>
              <w:rPr>
                <w:rFonts w:hAnsi="仿宋_GB2312" w:cs="仿宋_GB2312"/>
                <w:sz w:val="20"/>
                <w:szCs w:val="20"/>
              </w:rPr>
            </w:pPr>
            <w:r w:rsidRPr="000D6859">
              <w:rPr>
                <w:rFonts w:hAnsi="仿宋_GB2312" w:cs="仿宋_GB2312" w:hint="eastAsia"/>
                <w:sz w:val="20"/>
                <w:szCs w:val="20"/>
              </w:rPr>
              <w:t>林业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779B" w:rsidRDefault="000D6859">
            <w:pPr>
              <w:widowControl/>
              <w:spacing w:line="240" w:lineRule="exact"/>
              <w:jc w:val="center"/>
              <w:textAlignment w:val="center"/>
              <w:rPr>
                <w:rFonts w:hAnsi="仿宋_GB2312" w:cs="仿宋_GB2312"/>
                <w:sz w:val="20"/>
                <w:szCs w:val="20"/>
              </w:rPr>
            </w:pPr>
            <w:r w:rsidRPr="000D6859">
              <w:rPr>
                <w:rFonts w:hAnsi="仿宋_GB2312" w:cs="仿宋_GB2312" w:hint="eastAsia"/>
                <w:sz w:val="20"/>
                <w:szCs w:val="20"/>
              </w:rPr>
              <w:t>非国有国家级公益林生态保护补偿</w:t>
            </w:r>
          </w:p>
        </w:tc>
        <w:tc>
          <w:tcPr>
            <w:tcW w:w="61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779B" w:rsidRDefault="000D6859">
            <w:pPr>
              <w:widowControl/>
              <w:spacing w:line="240" w:lineRule="exact"/>
              <w:jc w:val="center"/>
              <w:textAlignment w:val="center"/>
              <w:rPr>
                <w:rFonts w:hAnsi="仿宋_GB2312" w:cs="仿宋_GB2312"/>
                <w:sz w:val="20"/>
                <w:szCs w:val="20"/>
              </w:rPr>
            </w:pPr>
            <w:r w:rsidRPr="000D6859">
              <w:rPr>
                <w:rFonts w:hAnsi="仿宋_GB2312" w:cs="仿宋_GB2312" w:hint="eastAsia"/>
                <w:sz w:val="20"/>
                <w:szCs w:val="20"/>
              </w:rPr>
              <w:t>林业国家补偿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779B" w:rsidRDefault="000D6859">
            <w:pPr>
              <w:widowControl/>
              <w:spacing w:line="240" w:lineRule="exact"/>
              <w:jc w:val="center"/>
              <w:textAlignment w:val="center"/>
              <w:rPr>
                <w:rFonts w:hAnsi="仿宋_GB2312" w:cs="仿宋_GB2312"/>
                <w:sz w:val="20"/>
                <w:szCs w:val="20"/>
              </w:rPr>
            </w:pPr>
            <w:r w:rsidRPr="000D6859">
              <w:rPr>
                <w:rFonts w:hAnsi="仿宋_GB2312" w:cs="仿宋_GB2312" w:hint="eastAsia"/>
                <w:sz w:val="20"/>
                <w:szCs w:val="20"/>
              </w:rPr>
              <w:t>一年一次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779B" w:rsidRDefault="000D6859">
            <w:pPr>
              <w:widowControl/>
              <w:spacing w:line="240" w:lineRule="exact"/>
              <w:jc w:val="center"/>
              <w:textAlignment w:val="center"/>
              <w:rPr>
                <w:rFonts w:hAnsi="仿宋_GB2312" w:cs="仿宋_GB2312"/>
                <w:sz w:val="20"/>
                <w:szCs w:val="20"/>
              </w:rPr>
            </w:pPr>
            <w:r w:rsidRPr="000D6859">
              <w:rPr>
                <w:rFonts w:hAnsi="仿宋_GB2312" w:cs="仿宋_GB2312" w:hint="eastAsia"/>
                <w:sz w:val="20"/>
                <w:szCs w:val="20"/>
              </w:rPr>
              <w:t>权属为个人的国家级公益林，补偿标准为16元/亩·年。</w:t>
            </w:r>
          </w:p>
        </w:tc>
        <w:tc>
          <w:tcPr>
            <w:tcW w:w="301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779B" w:rsidRDefault="000D6859">
            <w:pPr>
              <w:widowControl/>
              <w:spacing w:line="240" w:lineRule="exact"/>
              <w:jc w:val="center"/>
              <w:textAlignment w:val="center"/>
              <w:rPr>
                <w:rFonts w:hAnsi="宋体" w:cs="仿宋_GB2312"/>
                <w:kern w:val="0"/>
                <w:sz w:val="20"/>
                <w:szCs w:val="20"/>
                <w:lang w:bidi="ar"/>
              </w:rPr>
            </w:pPr>
            <w:r w:rsidRPr="000D6859">
              <w:rPr>
                <w:rFonts w:hAnsi="宋体" w:cs="仿宋_GB2312" w:hint="eastAsia"/>
                <w:kern w:val="0"/>
                <w:sz w:val="20"/>
                <w:szCs w:val="20"/>
                <w:lang w:bidi="ar"/>
              </w:rPr>
              <w:t>全年国家级公益林应发数按16元/亩.年对权利人补偿，资金来源为中央财政。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779B" w:rsidRDefault="000D6859">
            <w:pPr>
              <w:widowControl/>
              <w:spacing w:line="240" w:lineRule="exact"/>
              <w:jc w:val="center"/>
              <w:textAlignment w:val="center"/>
              <w:rPr>
                <w:rFonts w:hAnsi="宋体" w:cs="仿宋_GB2312"/>
                <w:kern w:val="0"/>
                <w:sz w:val="20"/>
                <w:szCs w:val="20"/>
                <w:lang w:bidi="ar"/>
              </w:rPr>
            </w:pPr>
            <w:r w:rsidRPr="000D6859">
              <w:rPr>
                <w:rFonts w:hAnsi="宋体" w:cs="仿宋_GB2312" w:hint="eastAsia"/>
                <w:kern w:val="0"/>
                <w:sz w:val="20"/>
                <w:szCs w:val="20"/>
                <w:lang w:bidi="ar"/>
              </w:rPr>
              <w:t>贵州省财政厅 贵州省林业局关于印发《贵州省林业改革发展资金管理办法》的通知（黔财资环〔2021〕3号）</w:t>
            </w:r>
          </w:p>
        </w:tc>
      </w:tr>
    </w:tbl>
    <w:p w:rsidR="006E779B" w:rsidRDefault="006E779B"/>
    <w:sectPr w:rsidR="006E779B">
      <w:footerReference w:type="default" r:id="rId8"/>
      <w:pgSz w:w="16838" w:h="11906" w:orient="landscape"/>
      <w:pgMar w:top="1474" w:right="1928" w:bottom="1361" w:left="192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426" w:rsidRDefault="00616426">
      <w:r>
        <w:separator/>
      </w:r>
    </w:p>
  </w:endnote>
  <w:endnote w:type="continuationSeparator" w:id="0">
    <w:p w:rsidR="00616426" w:rsidRDefault="0061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79B" w:rsidRDefault="0061642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213995</wp:posOffset>
              </wp:positionH>
              <wp:positionV relativeFrom="paragraph">
                <wp:posOffset>-12065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779B" w:rsidRDefault="00616426">
                          <w:pPr>
                            <w:pStyle w:val="a6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C4BAD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6.85pt;margin-top:-.9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" filled="f" fillcolor="white [3201]" stroked="f" strokeweight=".5pt">
              <v:textbox style="mso-fit-shape-to-text:t" inset="0,0,0,0">
                <w:txbxContent>
                  <w:p w:rsidR="006E779B" w:rsidRDefault="00616426">
                    <w:pPr>
                      <w:pStyle w:val="a6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6C4BAD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426" w:rsidRDefault="00616426">
      <w:r>
        <w:separator/>
      </w:r>
    </w:p>
  </w:footnote>
  <w:footnote w:type="continuationSeparator" w:id="0">
    <w:p w:rsidR="00616426" w:rsidRDefault="00616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976EA"/>
    <w:rsid w:val="000D6859"/>
    <w:rsid w:val="00616426"/>
    <w:rsid w:val="006C4BAD"/>
    <w:rsid w:val="006E779B"/>
    <w:rsid w:val="070C73F1"/>
    <w:rsid w:val="07FB5CC2"/>
    <w:rsid w:val="08D47DB4"/>
    <w:rsid w:val="0A5B5162"/>
    <w:rsid w:val="0AE135D5"/>
    <w:rsid w:val="0B8C70CA"/>
    <w:rsid w:val="109365B4"/>
    <w:rsid w:val="13BE3C9E"/>
    <w:rsid w:val="14D10586"/>
    <w:rsid w:val="17110EA3"/>
    <w:rsid w:val="18740371"/>
    <w:rsid w:val="19A74379"/>
    <w:rsid w:val="1A9F4B10"/>
    <w:rsid w:val="1C230743"/>
    <w:rsid w:val="1FA8466D"/>
    <w:rsid w:val="23DA4BE5"/>
    <w:rsid w:val="255D0CAF"/>
    <w:rsid w:val="25D44201"/>
    <w:rsid w:val="26D247FE"/>
    <w:rsid w:val="27E029D1"/>
    <w:rsid w:val="2A3759D9"/>
    <w:rsid w:val="2BDE2CF8"/>
    <w:rsid w:val="2DF31C0B"/>
    <w:rsid w:val="32D37107"/>
    <w:rsid w:val="3501287E"/>
    <w:rsid w:val="36492408"/>
    <w:rsid w:val="3A471A18"/>
    <w:rsid w:val="3C706FB2"/>
    <w:rsid w:val="3E2259AE"/>
    <w:rsid w:val="416E0322"/>
    <w:rsid w:val="445570B8"/>
    <w:rsid w:val="468A733E"/>
    <w:rsid w:val="475E259C"/>
    <w:rsid w:val="4B826164"/>
    <w:rsid w:val="4C3B2AD3"/>
    <w:rsid w:val="4F6817D7"/>
    <w:rsid w:val="4F932904"/>
    <w:rsid w:val="51462959"/>
    <w:rsid w:val="550A2182"/>
    <w:rsid w:val="55A77C5E"/>
    <w:rsid w:val="590865A4"/>
    <w:rsid w:val="59222A1D"/>
    <w:rsid w:val="59FA1FD8"/>
    <w:rsid w:val="5A2B386D"/>
    <w:rsid w:val="5C3C189A"/>
    <w:rsid w:val="5CAC26E3"/>
    <w:rsid w:val="5CAC30FB"/>
    <w:rsid w:val="5CED2D27"/>
    <w:rsid w:val="603D164E"/>
    <w:rsid w:val="623F5C2D"/>
    <w:rsid w:val="630E486E"/>
    <w:rsid w:val="639F0541"/>
    <w:rsid w:val="640541E7"/>
    <w:rsid w:val="64C40254"/>
    <w:rsid w:val="67601DFA"/>
    <w:rsid w:val="69F4221C"/>
    <w:rsid w:val="6C4976EA"/>
    <w:rsid w:val="73AB752F"/>
    <w:rsid w:val="76634350"/>
    <w:rsid w:val="79A873B3"/>
    <w:rsid w:val="7A511087"/>
    <w:rsid w:val="7BFB3ED8"/>
    <w:rsid w:val="7DD261DB"/>
    <w:rsid w:val="7FAC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-1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1"/>
    <w:next w:val="a3"/>
    <w:qFormat/>
    <w:pPr>
      <w:ind w:firstLineChars="200" w:firstLine="200"/>
    </w:pPr>
    <w:rPr>
      <w:color w:val="000000"/>
    </w:rPr>
  </w:style>
  <w:style w:type="paragraph" w:customStyle="1" w:styleId="1">
    <w:name w:val="正文1"/>
    <w:next w:val="-1"/>
    <w:qFormat/>
    <w:pPr>
      <w:jc w:val="both"/>
    </w:pPr>
    <w:rPr>
      <w:rFonts w:ascii="Calibri" w:eastAsia="宋体" w:hAnsi="Calibri" w:cs="黑体"/>
      <w:sz w:val="21"/>
      <w:szCs w:val="22"/>
    </w:rPr>
  </w:style>
  <w:style w:type="paragraph" w:styleId="a3">
    <w:name w:val="Normal (Web)"/>
    <w:basedOn w:val="a"/>
    <w:next w:val="a4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next w:val="a"/>
    <w:uiPriority w:val="99"/>
    <w:unhideWhenUsed/>
    <w:qFormat/>
    <w:rPr>
      <w:sz w:val="18"/>
      <w:szCs w:val="18"/>
    </w:rPr>
  </w:style>
  <w:style w:type="paragraph" w:styleId="a5">
    <w:name w:val="table of authorities"/>
    <w:basedOn w:val="a"/>
    <w:next w:val="a"/>
    <w:qFormat/>
    <w:pPr>
      <w:ind w:leftChars="200" w:left="420"/>
    </w:p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21">
    <w:name w:val="列表接续 21"/>
    <w:basedOn w:val="a"/>
    <w:qFormat/>
    <w:pPr>
      <w:spacing w:after="120"/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-1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1"/>
    <w:next w:val="a3"/>
    <w:qFormat/>
    <w:pPr>
      <w:ind w:firstLineChars="200" w:firstLine="200"/>
    </w:pPr>
    <w:rPr>
      <w:color w:val="000000"/>
    </w:rPr>
  </w:style>
  <w:style w:type="paragraph" w:customStyle="1" w:styleId="1">
    <w:name w:val="正文1"/>
    <w:next w:val="-1"/>
    <w:qFormat/>
    <w:pPr>
      <w:jc w:val="both"/>
    </w:pPr>
    <w:rPr>
      <w:rFonts w:ascii="Calibri" w:eastAsia="宋体" w:hAnsi="Calibri" w:cs="黑体"/>
      <w:sz w:val="21"/>
      <w:szCs w:val="22"/>
    </w:rPr>
  </w:style>
  <w:style w:type="paragraph" w:styleId="a3">
    <w:name w:val="Normal (Web)"/>
    <w:basedOn w:val="a"/>
    <w:next w:val="a4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next w:val="a"/>
    <w:uiPriority w:val="99"/>
    <w:unhideWhenUsed/>
    <w:qFormat/>
    <w:rPr>
      <w:sz w:val="18"/>
      <w:szCs w:val="18"/>
    </w:rPr>
  </w:style>
  <w:style w:type="paragraph" w:styleId="a5">
    <w:name w:val="table of authorities"/>
    <w:basedOn w:val="a"/>
    <w:next w:val="a"/>
    <w:qFormat/>
    <w:pPr>
      <w:ind w:leftChars="200" w:left="420"/>
    </w:p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21">
    <w:name w:val="列表接续 21"/>
    <w:basedOn w:val="a"/>
    <w:qFormat/>
    <w:pPr>
      <w:spacing w:after="120"/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</Words>
  <Characters>422</Characters>
  <Application>Microsoft Office Word</Application>
  <DocSecurity>0</DocSecurity>
  <Lines>3</Lines>
  <Paragraphs>1</Paragraphs>
  <ScaleCrop>false</ScaleCrop>
  <Company>P R C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赵佳</dc:creator>
  <cp:lastModifiedBy>Windows User</cp:lastModifiedBy>
  <cp:revision>3</cp:revision>
  <cp:lastPrinted>2024-01-04T03:38:00Z</cp:lastPrinted>
  <dcterms:created xsi:type="dcterms:W3CDTF">2023-12-15T06:56:00Z</dcterms:created>
  <dcterms:modified xsi:type="dcterms:W3CDTF">2024-01-04T03:42:00Z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822CCD5266F44DB199B55B401BA59574</vt:lpwstr>
  </property>
</Properties>
</file>